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hint="default" w:ascii="Times New Roman" w:hAnsi="Times New Roman" w:eastAsia="方正小标宋简体" w:cs="Times New Roman"/>
          <w:color w:val="auto"/>
          <w:sz w:val="21"/>
          <w:szCs w:val="21"/>
          <w:highlight w:val="none"/>
        </w:rPr>
      </w:pPr>
      <w:bookmarkStart w:id="0" w:name="_Toc15306267"/>
    </w:p>
    <w:p>
      <w:pPr>
        <w:pStyle w:val="2"/>
        <w:rPr>
          <w:rFonts w:hint="default"/>
        </w:rPr>
      </w:pPr>
      <w:bookmarkStart w:id="67" w:name="_GoBack"/>
      <w:bookmarkEnd w:id="67"/>
    </w:p>
    <w:p>
      <w:pPr>
        <w:spacing w:line="600" w:lineRule="exact"/>
        <w:jc w:val="center"/>
        <w:outlineLvl w:val="0"/>
        <w:rPr>
          <w:rFonts w:hint="default" w:ascii="Times New Roman" w:hAnsi="Times New Roman" w:eastAsia="方正小标宋简体" w:cs="Times New Roman"/>
          <w:color w:val="auto"/>
          <w:sz w:val="72"/>
          <w:szCs w:val="72"/>
          <w:highlight w:val="none"/>
        </w:rPr>
      </w:pPr>
    </w:p>
    <w:p>
      <w:pPr>
        <w:spacing w:line="600" w:lineRule="exact"/>
        <w:jc w:val="center"/>
        <w:outlineLvl w:val="0"/>
        <w:rPr>
          <w:rFonts w:hint="default" w:ascii="Times New Roman" w:hAnsi="Times New Roman" w:eastAsia="方正小标宋简体" w:cs="Times New Roman"/>
          <w:color w:val="auto"/>
          <w:sz w:val="72"/>
          <w:szCs w:val="72"/>
          <w:highlight w:val="none"/>
        </w:rPr>
      </w:pPr>
    </w:p>
    <w:p>
      <w:pPr>
        <w:adjustRightInd w:val="0"/>
        <w:snapToGrid w:val="0"/>
        <w:spacing w:line="360" w:lineRule="auto"/>
        <w:jc w:val="center"/>
        <w:outlineLvl w:val="0"/>
        <w:rPr>
          <w:rFonts w:hint="default" w:ascii="Times New Roman" w:hAnsi="Times New Roman" w:eastAsia="方正小标宋简体" w:cs="Times New Roman"/>
          <w:color w:val="auto"/>
          <w:sz w:val="72"/>
          <w:szCs w:val="72"/>
          <w:highlight w:val="none"/>
        </w:rPr>
      </w:pPr>
      <w:bookmarkStart w:id="1" w:name="_Toc15377193"/>
      <w:bookmarkStart w:id="2" w:name="_Toc15377425"/>
      <w:bookmarkStart w:id="3" w:name="_Toc15396597"/>
      <w:bookmarkStart w:id="4" w:name="_Toc15378441"/>
      <w:bookmarkStart w:id="5" w:name="_Toc15396475"/>
      <w:r>
        <w:rPr>
          <w:rFonts w:hint="default" w:ascii="Times New Roman" w:hAnsi="Times New Roman" w:eastAsia="方正小标宋简体" w:cs="Times New Roman"/>
          <w:color w:val="auto"/>
          <w:sz w:val="72"/>
          <w:szCs w:val="72"/>
          <w:highlight w:val="none"/>
          <w:lang w:eastAsia="zh-CN"/>
        </w:rPr>
        <w:t>2023</w:t>
      </w:r>
      <w:r>
        <w:rPr>
          <w:rFonts w:hint="default" w:ascii="Times New Roman" w:hAnsi="Times New Roman" w:eastAsia="方正小标宋简体" w:cs="Times New Roman"/>
          <w:color w:val="auto"/>
          <w:sz w:val="72"/>
          <w:szCs w:val="72"/>
          <w:highlight w:val="none"/>
        </w:rPr>
        <w:t>年度</w:t>
      </w:r>
      <w:bookmarkEnd w:id="1"/>
      <w:bookmarkEnd w:id="2"/>
      <w:bookmarkEnd w:id="3"/>
      <w:bookmarkEnd w:id="4"/>
      <w:bookmarkEnd w:id="5"/>
    </w:p>
    <w:p>
      <w:pPr>
        <w:adjustRightInd w:val="0"/>
        <w:snapToGrid w:val="0"/>
        <w:spacing w:line="360" w:lineRule="auto"/>
        <w:jc w:val="center"/>
        <w:outlineLvl w:val="0"/>
        <w:rPr>
          <w:rFonts w:hint="default" w:ascii="Times New Roman" w:hAnsi="Times New Roman" w:eastAsia="方正小标宋简体" w:cs="Times New Roman"/>
          <w:color w:val="auto"/>
          <w:sz w:val="72"/>
          <w:szCs w:val="72"/>
          <w:highlight w:val="none"/>
        </w:rPr>
      </w:pPr>
      <w:bookmarkStart w:id="6" w:name="_Toc15396598"/>
      <w:bookmarkStart w:id="7" w:name="_Toc15378442"/>
      <w:bookmarkStart w:id="8" w:name="_Toc15377194"/>
      <w:bookmarkStart w:id="9" w:name="_Toc15396476"/>
      <w:bookmarkStart w:id="10" w:name="_Toc15377426"/>
      <w:r>
        <w:rPr>
          <w:rFonts w:hint="default" w:ascii="Times New Roman" w:hAnsi="Times New Roman" w:eastAsia="方正小标宋简体" w:cs="Times New Roman"/>
          <w:color w:val="auto"/>
          <w:sz w:val="72"/>
          <w:szCs w:val="72"/>
          <w:highlight w:val="none"/>
        </w:rPr>
        <w:t>四川省</w:t>
      </w:r>
      <w:bookmarkEnd w:id="0"/>
      <w:bookmarkStart w:id="11" w:name="_Toc15306268"/>
      <w:r>
        <w:rPr>
          <w:rFonts w:hint="default" w:ascii="Times New Roman" w:hAnsi="Times New Roman" w:eastAsia="方正小标宋简体" w:cs="Times New Roman"/>
          <w:color w:val="auto"/>
          <w:sz w:val="72"/>
          <w:szCs w:val="72"/>
          <w:highlight w:val="none"/>
          <w:lang w:eastAsia="zh-CN"/>
        </w:rPr>
        <w:t>普查中心单位</w:t>
      </w:r>
      <w:r>
        <w:rPr>
          <w:rFonts w:hint="default" w:ascii="Times New Roman" w:hAnsi="Times New Roman" w:eastAsia="方正小标宋简体" w:cs="Times New Roman"/>
          <w:color w:val="auto"/>
          <w:sz w:val="72"/>
          <w:szCs w:val="72"/>
          <w:highlight w:val="none"/>
        </w:rPr>
        <w:t>决算</w:t>
      </w:r>
      <w:bookmarkEnd w:id="6"/>
      <w:bookmarkEnd w:id="7"/>
      <w:bookmarkEnd w:id="8"/>
      <w:bookmarkEnd w:id="9"/>
      <w:bookmarkEnd w:id="10"/>
      <w:bookmarkEnd w:id="11"/>
    </w:p>
    <w:p>
      <w:pPr>
        <w:widowControl/>
        <w:jc w:val="center"/>
        <w:rPr>
          <w:rFonts w:hint="default" w:ascii="Times New Roman" w:hAnsi="Times New Roman" w:eastAsia="黑体" w:cs="Times New Roman"/>
          <w:color w:val="auto"/>
          <w:sz w:val="48"/>
          <w:szCs w:val="48"/>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黑体" w:cs="Times New Roman"/>
          <w:color w:val="auto"/>
          <w:sz w:val="48"/>
          <w:szCs w:val="48"/>
          <w:highlight w:val="none"/>
        </w:rPr>
        <w:t>目录</w:t>
      </w:r>
    </w:p>
    <w:p>
      <w:pPr>
        <w:widowControl/>
        <w:jc w:val="center"/>
        <w:rPr>
          <w:rFonts w:hint="default" w:ascii="Times New Roman" w:hAnsi="Times New Roman" w:eastAsia="黑体" w:cs="Times New Roman"/>
          <w:color w:val="auto"/>
          <w:sz w:val="28"/>
          <w:szCs w:val="28"/>
          <w:highlight w:val="none"/>
        </w:rPr>
      </w:pPr>
    </w:p>
    <w:p>
      <w:pPr>
        <w:pStyle w:val="1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公开时间：20</w:t>
      </w:r>
      <w:r>
        <w:rPr>
          <w:rFonts w:hint="default" w:ascii="Times New Roman" w:hAnsi="Times New Roman" w:cs="Times New Roman"/>
          <w:color w:val="000000" w:themeColor="text1"/>
          <w:highlight w:val="none"/>
          <w:lang w:val="en-US" w:eastAsia="zh-CN"/>
          <w14:textFill>
            <w14:solidFill>
              <w14:schemeClr w14:val="tx1"/>
            </w14:solidFill>
          </w14:textFill>
        </w:rPr>
        <w:t>24</w:t>
      </w:r>
      <w:r>
        <w:rPr>
          <w:rFonts w:hint="default" w:ascii="Times New Roman" w:hAnsi="Times New Roman" w:cs="Times New Roman"/>
          <w:color w:val="000000" w:themeColor="text1"/>
          <w:highlight w:val="none"/>
          <w14:textFill>
            <w14:solidFill>
              <w14:schemeClr w14:val="tx1"/>
            </w14:solidFill>
          </w14:textFill>
        </w:rPr>
        <w:t>年</w:t>
      </w:r>
      <w:r>
        <w:rPr>
          <w:rFonts w:hint="default" w:ascii="Times New Roman" w:hAnsi="Times New Roman" w:cs="Times New Roman"/>
          <w:color w:val="000000" w:themeColor="text1"/>
          <w:highlight w:val="none"/>
          <w:lang w:val="en-US" w:eastAsia="zh-CN"/>
          <w14:textFill>
            <w14:solidFill>
              <w14:schemeClr w14:val="tx1"/>
            </w14:solidFill>
          </w14:textFill>
        </w:rPr>
        <w:t>9</w:t>
      </w:r>
      <w:r>
        <w:rPr>
          <w:rFonts w:hint="default" w:ascii="Times New Roman" w:hAnsi="Times New Roman" w:cs="Times New Roman"/>
          <w:color w:val="000000" w:themeColor="text1"/>
          <w:highlight w:val="none"/>
          <w14:textFill>
            <w14:solidFill>
              <w14:schemeClr w14:val="tx1"/>
            </w14:solidFill>
          </w14:textFill>
        </w:rPr>
        <w:t>月</w:t>
      </w:r>
      <w:r>
        <w:rPr>
          <w:rFonts w:hint="default" w:ascii="Times New Roman" w:hAnsi="Times New Roman" w:cs="Times New Roman"/>
          <w:color w:val="000000" w:themeColor="text1"/>
          <w:highlight w:val="none"/>
          <w:lang w:val="en-US" w:eastAsia="zh-CN"/>
          <w14:textFill>
            <w14:solidFill>
              <w14:schemeClr w14:val="tx1"/>
            </w14:solidFill>
          </w14:textFill>
        </w:rPr>
        <w:t>11</w:t>
      </w:r>
      <w:r>
        <w:rPr>
          <w:rFonts w:hint="default" w:ascii="Times New Roman" w:hAnsi="Times New Roman" w:cs="Times New Roman"/>
          <w:color w:val="000000" w:themeColor="text1"/>
          <w:highlight w:val="none"/>
          <w14:textFill>
            <w14:solidFill>
              <w14:schemeClr w14:val="tx1"/>
            </w14:solidFill>
          </w14:textFill>
        </w:rPr>
        <w:t>日</w:t>
      </w:r>
    </w:p>
    <w:p>
      <w:pPr>
        <w:rPr>
          <w:rFonts w:hint="default" w:ascii="Times New Roman" w:hAnsi="Times New Roman" w:cs="Times New Roman"/>
          <w:color w:val="auto"/>
          <w:highlight w:val="none"/>
        </w:rPr>
      </w:pPr>
    </w:p>
    <w:p>
      <w:pPr>
        <w:pStyle w:val="10"/>
        <w:adjustRightInd w:val="0"/>
        <w:snapToGrid w:val="0"/>
        <w:spacing w:before="0" w:line="440" w:lineRule="exact"/>
        <w:jc w:val="lef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highlight w:val="none"/>
        </w:rPr>
        <w:t xml:space="preserve">第一部分 </w:t>
      </w:r>
      <w:r>
        <w:rPr>
          <w:rFonts w:hint="default" w:ascii="Times New Roman" w:hAnsi="Times New Roman" w:cs="Times New Roman"/>
          <w:color w:val="auto"/>
          <w:sz w:val="24"/>
          <w:highlight w:val="none"/>
          <w:lang w:eastAsia="zh-CN"/>
        </w:rPr>
        <w:t>单位</w:t>
      </w:r>
      <w:r>
        <w:rPr>
          <w:rFonts w:hint="default" w:ascii="Times New Roman" w:hAnsi="Times New Roman" w:cs="Times New Roman"/>
          <w:color w:val="auto"/>
          <w:sz w:val="24"/>
          <w:highlight w:val="none"/>
        </w:rPr>
        <w:t>概况</w:t>
      </w:r>
    </w:p>
    <w:p>
      <w:pPr>
        <w:pStyle w:val="11"/>
        <w:adjustRightInd w:val="0"/>
        <w:snapToGrid w:val="0"/>
        <w:spacing w:line="440" w:lineRule="exact"/>
        <w:jc w:val="left"/>
        <w:rPr>
          <w:rFonts w:hint="default" w:ascii="Times New Roman" w:hAnsi="Times New Roman" w:eastAsia="宋体" w:cs="Times New Roman"/>
          <w:color w:val="auto"/>
          <w:sz w:val="24"/>
          <w:highlight w:val="none"/>
          <w:lang w:eastAsia="zh-CN"/>
        </w:rPr>
      </w:pPr>
      <w:r>
        <w:rPr>
          <w:rFonts w:hint="default" w:ascii="Times New Roman" w:hAnsi="Times New Roman" w:cs="Times New Roman"/>
          <w:color w:val="auto"/>
          <w:sz w:val="24"/>
          <w:highlight w:val="none"/>
        </w:rPr>
        <w:t>一、</w:t>
      </w:r>
      <w:r>
        <w:rPr>
          <w:rFonts w:hint="default" w:ascii="Times New Roman" w:hAnsi="Times New Roman" w:cs="Times New Roman"/>
          <w:color w:val="auto"/>
          <w:sz w:val="24"/>
          <w:highlight w:val="none"/>
          <w:lang w:eastAsia="zh-CN"/>
        </w:rPr>
        <w:t>主要职责</w:t>
      </w:r>
    </w:p>
    <w:p>
      <w:pPr>
        <w:pStyle w:val="11"/>
        <w:adjustRightInd w:val="0"/>
        <w:snapToGrid w:val="0"/>
        <w:spacing w:line="440" w:lineRule="exact"/>
        <w:jc w:val="left"/>
        <w:rPr>
          <w:rFonts w:hint="default" w:ascii="Times New Roman" w:hAnsi="Times New Roman" w:eastAsia="宋体" w:cs="Times New Roman"/>
          <w:color w:val="auto"/>
          <w:lang w:eastAsia="zh-CN"/>
        </w:rPr>
      </w:pPr>
      <w:r>
        <w:rPr>
          <w:rFonts w:hint="default" w:ascii="Times New Roman" w:hAnsi="Times New Roman" w:cs="Times New Roman"/>
          <w:color w:val="auto"/>
          <w:sz w:val="24"/>
          <w:highlight w:val="none"/>
          <w:lang w:eastAsia="zh-CN"/>
        </w:rPr>
        <w:t>二</w:t>
      </w:r>
      <w:r>
        <w:rPr>
          <w:rFonts w:hint="default" w:ascii="Times New Roman" w:hAnsi="Times New Roman" w:cs="Times New Roman"/>
          <w:color w:val="auto"/>
          <w:sz w:val="24"/>
          <w:highlight w:val="none"/>
        </w:rPr>
        <w:t>、</w:t>
      </w:r>
      <w:r>
        <w:rPr>
          <w:rFonts w:hint="default" w:ascii="Times New Roman" w:hAnsi="Times New Roman" w:cs="Times New Roman"/>
          <w:color w:val="auto"/>
          <w:sz w:val="24"/>
          <w:highlight w:val="none"/>
          <w:lang w:eastAsia="zh-CN"/>
        </w:rPr>
        <w:t>机构设置</w:t>
      </w:r>
    </w:p>
    <w:p>
      <w:pPr>
        <w:pStyle w:val="10"/>
        <w:adjustRightInd w:val="0"/>
        <w:snapToGrid w:val="0"/>
        <w:spacing w:before="0" w:line="440" w:lineRule="exact"/>
        <w:jc w:val="lef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highlight w:val="none"/>
        </w:rPr>
        <w:t>第二部分</w:t>
      </w:r>
      <w:r>
        <w:rPr>
          <w:rFonts w:hint="default" w:ascii="Times New Roman" w:hAnsi="Times New Roman" w:cs="Times New Roman"/>
          <w:color w:val="auto"/>
          <w:sz w:val="24"/>
          <w:highlight w:val="none"/>
          <w:lang w:val="en-US" w:eastAsia="zh-CN"/>
        </w:rPr>
        <w:t xml:space="preserve"> 2023年度</w:t>
      </w:r>
      <w:r>
        <w:rPr>
          <w:rFonts w:hint="default" w:ascii="Times New Roman" w:hAnsi="Times New Roman" w:cs="Times New Roman"/>
          <w:color w:val="auto"/>
          <w:sz w:val="24"/>
          <w:highlight w:val="none"/>
          <w:lang w:eastAsia="zh-CN"/>
        </w:rPr>
        <w:t>单位</w:t>
      </w:r>
      <w:r>
        <w:rPr>
          <w:rFonts w:hint="default" w:ascii="Times New Roman" w:hAnsi="Times New Roman" w:cs="Times New Roman"/>
          <w:color w:val="auto"/>
          <w:sz w:val="24"/>
          <w:highlight w:val="none"/>
        </w:rPr>
        <w:t>决算情况说明</w:t>
      </w:r>
    </w:p>
    <w:p>
      <w:pPr>
        <w:pStyle w:val="11"/>
        <w:adjustRightInd w:val="0"/>
        <w:snapToGrid w:val="0"/>
        <w:spacing w:line="440" w:lineRule="exact"/>
        <w:jc w:val="left"/>
        <w:rPr>
          <w:rFonts w:hint="default" w:ascii="Times New Roman" w:hAnsi="Times New Roman" w:eastAsia="仿宋" w:cs="Times New Roman"/>
          <w:color w:val="auto"/>
          <w:sz w:val="24"/>
          <w:highlight w:val="none"/>
        </w:rPr>
      </w:pPr>
      <w:r>
        <w:rPr>
          <w:rFonts w:hint="default" w:ascii="Times New Roman" w:hAnsi="Times New Roman" w:cs="Times New Roman"/>
          <w:color w:val="auto"/>
          <w:sz w:val="24"/>
          <w:highlight w:val="none"/>
        </w:rPr>
        <w:t>一、收入支出决算总体情况说明</w:t>
      </w:r>
    </w:p>
    <w:p>
      <w:pPr>
        <w:pStyle w:val="11"/>
        <w:adjustRightInd w:val="0"/>
        <w:snapToGrid w:val="0"/>
        <w:spacing w:line="440" w:lineRule="exact"/>
        <w:jc w:val="left"/>
        <w:rPr>
          <w:rFonts w:hint="default" w:ascii="Times New Roman" w:hAnsi="Times New Roman" w:eastAsia="仿宋" w:cs="Times New Roman"/>
          <w:color w:val="auto"/>
          <w:sz w:val="24"/>
          <w:highlight w:val="none"/>
        </w:rPr>
      </w:pPr>
      <w:r>
        <w:rPr>
          <w:rFonts w:hint="default" w:ascii="Times New Roman" w:hAnsi="Times New Roman" w:cs="Times New Roman"/>
          <w:color w:val="auto"/>
          <w:sz w:val="24"/>
          <w:highlight w:val="none"/>
        </w:rPr>
        <w:t>二、收入决算情况说明</w:t>
      </w:r>
    </w:p>
    <w:p>
      <w:pPr>
        <w:pStyle w:val="11"/>
        <w:adjustRightInd w:val="0"/>
        <w:snapToGrid w:val="0"/>
        <w:spacing w:line="440" w:lineRule="exact"/>
        <w:jc w:val="left"/>
        <w:rPr>
          <w:rFonts w:hint="default" w:ascii="Times New Roman" w:hAnsi="Times New Roman" w:eastAsia="仿宋" w:cs="Times New Roman"/>
          <w:color w:val="auto"/>
          <w:sz w:val="24"/>
          <w:highlight w:val="none"/>
        </w:rPr>
      </w:pPr>
      <w:r>
        <w:rPr>
          <w:rFonts w:hint="default" w:ascii="Times New Roman" w:hAnsi="Times New Roman" w:cs="Times New Roman"/>
          <w:color w:val="auto"/>
          <w:sz w:val="24"/>
          <w:highlight w:val="none"/>
        </w:rPr>
        <w:t>三、支出决算情况说明</w:t>
      </w:r>
    </w:p>
    <w:p>
      <w:pPr>
        <w:pStyle w:val="11"/>
        <w:adjustRightInd w:val="0"/>
        <w:snapToGrid w:val="0"/>
        <w:spacing w:line="440" w:lineRule="exact"/>
        <w:jc w:val="left"/>
        <w:rPr>
          <w:rFonts w:hint="default" w:ascii="Times New Roman" w:hAnsi="Times New Roman" w:eastAsia="仿宋" w:cs="Times New Roman"/>
          <w:color w:val="auto"/>
          <w:sz w:val="24"/>
          <w:highlight w:val="none"/>
        </w:rPr>
      </w:pPr>
      <w:r>
        <w:rPr>
          <w:rFonts w:hint="default" w:ascii="Times New Roman" w:hAnsi="Times New Roman" w:cs="Times New Roman"/>
          <w:color w:val="auto"/>
          <w:sz w:val="24"/>
          <w:highlight w:val="none"/>
        </w:rPr>
        <w:t>四、财政拨款收入支出决算总体情况说明</w:t>
      </w:r>
    </w:p>
    <w:p>
      <w:pPr>
        <w:pStyle w:val="11"/>
        <w:adjustRightInd w:val="0"/>
        <w:snapToGrid w:val="0"/>
        <w:spacing w:line="440" w:lineRule="exact"/>
        <w:jc w:val="left"/>
        <w:rPr>
          <w:rFonts w:hint="default" w:ascii="Times New Roman" w:hAnsi="Times New Roman" w:eastAsia="仿宋" w:cs="Times New Roman"/>
          <w:color w:val="auto"/>
          <w:sz w:val="24"/>
          <w:highlight w:val="none"/>
        </w:rPr>
      </w:pPr>
      <w:r>
        <w:rPr>
          <w:rFonts w:hint="default" w:ascii="Times New Roman" w:hAnsi="Times New Roman" w:cs="Times New Roman"/>
          <w:color w:val="auto"/>
          <w:sz w:val="24"/>
          <w:highlight w:val="none"/>
        </w:rPr>
        <w:t>五、一般公共预算财政拨款支出决算情况说明</w:t>
      </w:r>
    </w:p>
    <w:p>
      <w:pPr>
        <w:pStyle w:val="11"/>
        <w:adjustRightInd w:val="0"/>
        <w:snapToGrid w:val="0"/>
        <w:spacing w:line="440" w:lineRule="exact"/>
        <w:jc w:val="left"/>
        <w:rPr>
          <w:rFonts w:hint="default" w:ascii="Times New Roman" w:hAnsi="Times New Roman" w:eastAsia="仿宋" w:cs="Times New Roman"/>
          <w:color w:val="auto"/>
          <w:sz w:val="24"/>
          <w:highlight w:val="none"/>
        </w:rPr>
      </w:pPr>
      <w:r>
        <w:rPr>
          <w:rFonts w:hint="default" w:ascii="Times New Roman" w:hAnsi="Times New Roman" w:cs="Times New Roman"/>
          <w:color w:val="auto"/>
          <w:sz w:val="24"/>
          <w:highlight w:val="none"/>
        </w:rPr>
        <w:t>六、一般公共预算财政拨款基本支出决算情况说明</w:t>
      </w:r>
    </w:p>
    <w:p>
      <w:pPr>
        <w:pStyle w:val="11"/>
        <w:adjustRightInd w:val="0"/>
        <w:snapToGrid w:val="0"/>
        <w:spacing w:line="440" w:lineRule="exact"/>
        <w:jc w:val="left"/>
        <w:rPr>
          <w:rFonts w:hint="default" w:ascii="Times New Roman" w:hAnsi="Times New Roman" w:eastAsia="仿宋" w:cs="Times New Roman"/>
          <w:color w:val="auto"/>
          <w:sz w:val="24"/>
          <w:highlight w:val="none"/>
        </w:rPr>
      </w:pPr>
      <w:r>
        <w:rPr>
          <w:rFonts w:hint="default" w:ascii="Times New Roman" w:hAnsi="Times New Roman" w:cs="Times New Roman"/>
          <w:color w:val="auto"/>
          <w:sz w:val="24"/>
          <w:highlight w:val="none"/>
        </w:rPr>
        <w:t>七、财政拨款</w:t>
      </w:r>
      <w:r>
        <w:rPr>
          <w:rFonts w:hint="default"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rPr>
        <w:t>三公”经费支出决算情况说明</w:t>
      </w:r>
    </w:p>
    <w:p>
      <w:pPr>
        <w:pStyle w:val="11"/>
        <w:adjustRightInd w:val="0"/>
        <w:snapToGrid w:val="0"/>
        <w:spacing w:line="440" w:lineRule="exact"/>
        <w:jc w:val="left"/>
        <w:rPr>
          <w:rFonts w:hint="default" w:ascii="Times New Roman" w:hAnsi="Times New Roman" w:eastAsia="仿宋" w:cs="Times New Roman"/>
          <w:color w:val="auto"/>
          <w:sz w:val="24"/>
          <w:highlight w:val="none"/>
        </w:rPr>
      </w:pPr>
      <w:r>
        <w:rPr>
          <w:rFonts w:hint="default" w:ascii="Times New Roman" w:hAnsi="Times New Roman" w:cs="Times New Roman"/>
          <w:color w:val="auto"/>
          <w:sz w:val="24"/>
          <w:highlight w:val="none"/>
        </w:rPr>
        <w:t>八、政府性基金预算支出决算情况说明</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九、国有资本经营预算支出决算情况说明</w:t>
      </w:r>
    </w:p>
    <w:p>
      <w:pPr>
        <w:pStyle w:val="11"/>
        <w:adjustRightInd w:val="0"/>
        <w:snapToGrid w:val="0"/>
        <w:spacing w:line="440" w:lineRule="exact"/>
        <w:jc w:val="left"/>
        <w:rPr>
          <w:rFonts w:hint="default" w:ascii="Times New Roman" w:hAnsi="Times New Roman" w:cs="Times New Roman"/>
          <w:color w:val="auto"/>
          <w:sz w:val="24"/>
          <w:highlight w:val="none"/>
          <w:lang w:eastAsia="zh-CN"/>
        </w:rPr>
      </w:pPr>
      <w:r>
        <w:rPr>
          <w:rFonts w:hint="default" w:ascii="Times New Roman" w:hAnsi="Times New Roman" w:cs="Times New Roman"/>
          <w:color w:val="auto"/>
          <w:sz w:val="24"/>
          <w:highlight w:val="none"/>
        </w:rPr>
        <w:t>十、其他重要事项的情况说明</w:t>
      </w:r>
    </w:p>
    <w:p>
      <w:pPr>
        <w:pStyle w:val="10"/>
        <w:adjustRightInd w:val="0"/>
        <w:snapToGrid w:val="0"/>
        <w:spacing w:before="0" w:line="440" w:lineRule="exact"/>
        <w:jc w:val="lef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highlight w:val="none"/>
        </w:rPr>
        <w:t>第三部分 名词解释</w:t>
      </w:r>
    </w:p>
    <w:p>
      <w:pPr>
        <w:pStyle w:val="10"/>
        <w:adjustRightInd w:val="0"/>
        <w:snapToGrid w:val="0"/>
        <w:spacing w:before="0" w:line="440" w:lineRule="exact"/>
        <w:jc w:val="lef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highlight w:val="none"/>
        </w:rPr>
        <w:t>第四部分 附件</w:t>
      </w:r>
    </w:p>
    <w:p>
      <w:pPr>
        <w:pStyle w:val="10"/>
        <w:adjustRightInd w:val="0"/>
        <w:snapToGrid w:val="0"/>
        <w:spacing w:before="0" w:line="440" w:lineRule="exact"/>
        <w:jc w:val="lef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highlight w:val="none"/>
        </w:rPr>
        <w:t>第五部分 附表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一、收入支出决算总表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二、收入决算表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三、支出决算表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四、财政拨款收入支出决算总表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五、财政拨款支出决算明细表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六、一般公共预算财政拨款支出决算表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七、一般公共预算财政拨款支出决算明细表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八、一般公共预算财政拨款基本支出决算</w:t>
      </w:r>
      <w:r>
        <w:rPr>
          <w:rFonts w:hint="default" w:ascii="Times New Roman" w:hAnsi="Times New Roman" w:cs="Times New Roman"/>
          <w:color w:val="auto"/>
          <w:sz w:val="24"/>
          <w:highlight w:val="none"/>
          <w:lang w:eastAsia="zh-CN"/>
        </w:rPr>
        <w:t>明细</w:t>
      </w:r>
      <w:r>
        <w:rPr>
          <w:rFonts w:hint="default" w:ascii="Times New Roman" w:hAnsi="Times New Roman" w:cs="Times New Roman"/>
          <w:color w:val="auto"/>
          <w:sz w:val="24"/>
          <w:highlight w:val="none"/>
        </w:rPr>
        <w:t>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九、一般公共预算财政拨款项目支出决算表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十、政府性基金预算财政拨款收入支出决算表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十一、国有资本经营预算财政拨款收入支出决算表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十二、</w:t>
      </w:r>
      <w:r>
        <w:rPr>
          <w:rFonts w:hint="default" w:ascii="Times New Roman" w:hAnsi="Times New Roman" w:cs="Times New Roman"/>
          <w:color w:val="auto"/>
          <w:sz w:val="24"/>
          <w:highlight w:val="none"/>
          <w:lang w:val="en-US" w:eastAsia="zh-CN"/>
        </w:rPr>
        <w:t>国有资本经营预算财政拨款支出决算表</w:t>
      </w:r>
    </w:p>
    <w:p>
      <w:pPr>
        <w:pStyle w:val="11"/>
        <w:adjustRightInd w:val="0"/>
        <w:snapToGrid w:val="0"/>
        <w:spacing w:line="440" w:lineRule="exact"/>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十三、财政拨款“三公”经费支出决算表</w:t>
      </w:r>
    </w:p>
    <w:p>
      <w:pPr>
        <w:widowControl/>
        <w:spacing w:line="440" w:lineRule="exact"/>
        <w:jc w:val="left"/>
        <w:rPr>
          <w:rFonts w:hint="default" w:ascii="Times New Roman" w:hAnsi="Times New Roman" w:eastAsia="仿宋" w:cs="Times New Roman"/>
          <w:bCs/>
          <w:color w:val="auto"/>
          <w:kern w:val="44"/>
          <w:sz w:val="24"/>
          <w:highlight w:val="none"/>
        </w:rPr>
      </w:pPr>
      <w:bookmarkStart w:id="12" w:name="_Toc15396599"/>
      <w:bookmarkStart w:id="13" w:name="_Toc15377196"/>
      <w:r>
        <w:rPr>
          <w:rFonts w:hint="default" w:ascii="Times New Roman" w:hAnsi="Times New Roman" w:eastAsia="仿宋" w:cs="Times New Roman"/>
          <w:b/>
          <w:color w:val="auto"/>
          <w:sz w:val="24"/>
          <w:highlight w:val="none"/>
        </w:rPr>
        <w:br w:type="page"/>
      </w:r>
    </w:p>
    <w:p>
      <w:pPr>
        <w:pStyle w:val="3"/>
        <w:jc w:val="center"/>
        <w:rPr>
          <w:rStyle w:val="24"/>
          <w:rFonts w:hint="default" w:ascii="Times New Roman" w:hAnsi="Times New Roman" w:eastAsia="黑体" w:cs="Times New Roman"/>
          <w:b/>
          <w:bCs w:val="0"/>
          <w:color w:val="auto"/>
          <w:highlight w:val="none"/>
        </w:rPr>
      </w:pPr>
      <w:r>
        <w:rPr>
          <w:rFonts w:hint="default" w:ascii="Times New Roman" w:hAnsi="Times New Roman" w:eastAsia="黑体" w:cs="Times New Roman"/>
          <w:b w:val="0"/>
          <w:color w:val="auto"/>
          <w:highlight w:val="none"/>
        </w:rPr>
        <w:t xml:space="preserve">第一部分 </w:t>
      </w:r>
      <w:r>
        <w:rPr>
          <w:rFonts w:hint="default" w:ascii="Times New Roman" w:hAnsi="Times New Roman" w:eastAsia="黑体" w:cs="Times New Roman"/>
          <w:b w:val="0"/>
          <w:color w:val="auto"/>
          <w:highlight w:val="none"/>
          <w:lang w:eastAsia="zh-CN"/>
        </w:rPr>
        <w:t>单位</w:t>
      </w:r>
      <w:r>
        <w:rPr>
          <w:rStyle w:val="24"/>
          <w:rFonts w:hint="default" w:ascii="Times New Roman" w:hAnsi="Times New Roman" w:eastAsia="黑体" w:cs="Times New Roman"/>
          <w:b w:val="0"/>
          <w:bCs w:val="0"/>
          <w:color w:val="auto"/>
          <w:highlight w:val="none"/>
        </w:rPr>
        <w:t>概况</w:t>
      </w:r>
      <w:bookmarkEnd w:id="12"/>
      <w:bookmarkEnd w:id="13"/>
    </w:p>
    <w:p>
      <w:pPr>
        <w:widowControl/>
        <w:jc w:val="left"/>
        <w:rPr>
          <w:rFonts w:hint="default" w:ascii="Times New Roman" w:hAnsi="Times New Roman" w:eastAsia="黑体" w:cs="Times New Roman"/>
          <w:color w:val="auto"/>
          <w:sz w:val="32"/>
          <w:szCs w:val="32"/>
          <w:highlight w:val="none"/>
        </w:rPr>
      </w:pPr>
    </w:p>
    <w:p>
      <w:pPr>
        <w:pStyle w:val="4"/>
        <w:numPr>
          <w:ilvl w:val="0"/>
          <w:numId w:val="0"/>
        </w:numPr>
        <w:ind w:firstLine="640" w:firstLineChars="200"/>
        <w:rPr>
          <w:rStyle w:val="25"/>
          <w:rFonts w:hint="default" w:ascii="Times New Roman" w:hAnsi="Times New Roman" w:eastAsia="黑体" w:cs="Times New Roman"/>
          <w:b w:val="0"/>
          <w:bCs w:val="0"/>
          <w:color w:val="auto"/>
          <w:highlight w:val="none"/>
          <w:lang w:eastAsia="zh-CN"/>
        </w:rPr>
      </w:pPr>
      <w:bookmarkStart w:id="14" w:name="_Toc15377197"/>
      <w:bookmarkStart w:id="15" w:name="_Toc15396600"/>
      <w:r>
        <w:rPr>
          <w:rStyle w:val="25"/>
          <w:rFonts w:hint="default" w:ascii="Times New Roman" w:hAnsi="Times New Roman" w:eastAsia="黑体" w:cs="Times New Roman"/>
          <w:b w:val="0"/>
          <w:bCs w:val="0"/>
          <w:color w:val="auto"/>
          <w:highlight w:val="none"/>
          <w:lang w:eastAsia="zh-CN"/>
        </w:rPr>
        <w:t>一、主要职责</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color w:val="000000" w:themeColor="text1"/>
          <w:sz w:val="32"/>
          <w:szCs w:val="32"/>
          <w14:textFill>
            <w14:solidFill>
              <w14:schemeClr w14:val="tx1"/>
            </w14:solidFill>
          </w14:textFill>
        </w:rPr>
        <w:t>四川省普查中心是四川省统计局直属参公事业单位，其主要职能是承担全省基本单位（调查单位）经常性统计调查和管理，开展四川省基本单位名录库建设及管理，指导省以下各级基本单位名录库管理机构开展基本单位名录的维护和更新；承担全省统计经济地理信息系统建设和管理。在大型普查年份实施包括经济普查、人口普查、农业普查在内的国情国力调查，负责大型普查的组织协调或后勤保障等事务性工作。</w:t>
      </w:r>
    </w:p>
    <w:p>
      <w:pPr>
        <w:pStyle w:val="4"/>
        <w:numPr>
          <w:ilvl w:val="0"/>
          <w:numId w:val="0"/>
        </w:numPr>
        <w:ind w:leftChars="0" w:firstLine="640" w:firstLineChars="200"/>
        <w:rPr>
          <w:rFonts w:hint="default" w:ascii="Times New Roman" w:hAnsi="Times New Roman" w:eastAsia="仿宋_GB2312" w:cs="Times New Roman"/>
          <w:snapToGrid w:val="0"/>
          <w:color w:val="000000" w:themeColor="text1"/>
          <w:kern w:val="0"/>
          <w:sz w:val="32"/>
          <w:szCs w:val="32"/>
          <w:lang w:val="en-US" w:eastAsia="zh-CN"/>
          <w14:textFill>
            <w14:solidFill>
              <w14:schemeClr w14:val="tx1"/>
            </w14:solidFill>
          </w14:textFill>
        </w:rPr>
      </w:pPr>
      <w:r>
        <w:rPr>
          <w:rFonts w:hint="default" w:ascii="Times New Roman" w:hAnsi="Times New Roman" w:eastAsia="黑体" w:cs="Times New Roman"/>
          <w:b w:val="0"/>
          <w:color w:val="auto"/>
          <w:highlight w:val="none"/>
          <w:lang w:val="en-US" w:eastAsia="zh-CN"/>
        </w:rPr>
        <w:t>二、机构设置</w:t>
      </w:r>
      <w:bookmarkEnd w:id="14"/>
      <w:bookmarkEnd w:id="15"/>
    </w:p>
    <w:p>
      <w:pPr>
        <w:widowControl/>
        <w:ind w:firstLine="640" w:firstLineChars="200"/>
        <w:jc w:val="left"/>
        <w:rPr>
          <w:rFonts w:hint="default" w:ascii="Times New Roman" w:hAnsi="Times New Roman" w:eastAsia="仿宋" w:cs="Times New Roman"/>
          <w:color w:val="auto"/>
          <w:kern w:val="0"/>
          <w:sz w:val="32"/>
          <w:szCs w:val="32"/>
          <w:highlight w:val="none"/>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四川省普查中心由5个内设部门组成,分别是后勤保障部、综合管理部、业务指导部、资料开发与地理信息部及质量控制部。</w:t>
      </w:r>
      <w:r>
        <w:rPr>
          <w:rFonts w:hint="default" w:ascii="Times New Roman" w:hAnsi="Times New Roman" w:eastAsia="仿宋" w:cs="Times New Roman"/>
          <w:color w:val="auto"/>
          <w:sz w:val="32"/>
          <w:szCs w:val="32"/>
          <w:highlight w:val="none"/>
        </w:rPr>
        <w:br w:type="page"/>
      </w:r>
    </w:p>
    <w:p>
      <w:pPr>
        <w:pStyle w:val="3"/>
        <w:ind w:right="440"/>
        <w:jc w:val="center"/>
        <w:rPr>
          <w:rStyle w:val="24"/>
          <w:rFonts w:hint="default" w:ascii="Times New Roman" w:hAnsi="Times New Roman" w:eastAsia="黑体" w:cs="Times New Roman"/>
          <w:b w:val="0"/>
          <w:bCs/>
          <w:color w:val="auto"/>
          <w:highlight w:val="none"/>
        </w:rPr>
      </w:pPr>
      <w:bookmarkStart w:id="16" w:name="_Toc15377204"/>
      <w:bookmarkStart w:id="17" w:name="_Toc15396602"/>
      <w:r>
        <w:rPr>
          <w:rFonts w:hint="default" w:ascii="Times New Roman" w:hAnsi="Times New Roman" w:eastAsia="黑体" w:cs="Times New Roman"/>
          <w:b w:val="0"/>
          <w:bCs/>
          <w:color w:val="auto"/>
          <w:highlight w:val="none"/>
        </w:rPr>
        <w:t xml:space="preserve">第二部分 </w:t>
      </w:r>
      <w:r>
        <w:rPr>
          <w:rFonts w:hint="default" w:ascii="Times New Roman" w:hAnsi="Times New Roman" w:eastAsia="黑体" w:cs="Times New Roman"/>
          <w:b w:val="0"/>
          <w:bCs/>
          <w:color w:val="auto"/>
          <w:highlight w:val="none"/>
          <w:lang w:val="en-US" w:eastAsia="zh-CN"/>
        </w:rPr>
        <w:t>2023年度</w:t>
      </w:r>
      <w:r>
        <w:rPr>
          <w:rStyle w:val="24"/>
          <w:rFonts w:hint="default" w:ascii="Times New Roman" w:hAnsi="Times New Roman" w:eastAsia="黑体" w:cs="Times New Roman"/>
          <w:b w:val="0"/>
          <w:bCs/>
          <w:color w:val="auto"/>
          <w:highlight w:val="none"/>
          <w:lang w:eastAsia="zh-CN"/>
        </w:rPr>
        <w:t>单位</w:t>
      </w:r>
      <w:r>
        <w:rPr>
          <w:rStyle w:val="24"/>
          <w:rFonts w:hint="default" w:ascii="Times New Roman" w:hAnsi="Times New Roman" w:eastAsia="黑体" w:cs="Times New Roman"/>
          <w:b w:val="0"/>
          <w:bCs/>
          <w:color w:val="auto"/>
          <w:highlight w:val="none"/>
        </w:rPr>
        <w:t>决算情况说明</w:t>
      </w:r>
      <w:bookmarkEnd w:id="16"/>
      <w:bookmarkEnd w:id="17"/>
    </w:p>
    <w:p>
      <w:pPr>
        <w:rPr>
          <w:rFonts w:hint="default" w:ascii="Times New Roman" w:hAnsi="Times New Roman" w:cs="Times New Roman"/>
          <w:color w:val="auto"/>
          <w:highlight w:val="none"/>
        </w:rPr>
      </w:pPr>
    </w:p>
    <w:p>
      <w:pPr>
        <w:pStyle w:val="23"/>
        <w:numPr>
          <w:ilvl w:val="0"/>
          <w:numId w:val="1"/>
        </w:numPr>
        <w:spacing w:line="600" w:lineRule="exact"/>
        <w:ind w:firstLineChars="0"/>
        <w:outlineLvl w:val="1"/>
        <w:rPr>
          <w:rStyle w:val="25"/>
          <w:rFonts w:hint="default" w:ascii="Times New Roman" w:hAnsi="Times New Roman" w:eastAsia="黑体" w:cs="Times New Roman"/>
          <w:b w:val="0"/>
          <w:color w:val="auto"/>
          <w:highlight w:val="none"/>
        </w:rPr>
      </w:pPr>
      <w:bookmarkStart w:id="18" w:name="_Toc15396603"/>
      <w:bookmarkStart w:id="19" w:name="_Toc15377205"/>
      <w:r>
        <w:rPr>
          <w:rFonts w:hint="default" w:ascii="Times New Roman" w:hAnsi="Times New Roman" w:eastAsia="黑体" w:cs="Times New Roman"/>
          <w:color w:val="auto"/>
          <w:sz w:val="32"/>
          <w:szCs w:val="32"/>
          <w:highlight w:val="none"/>
        </w:rPr>
        <w:t>收</w:t>
      </w:r>
      <w:r>
        <w:rPr>
          <w:rStyle w:val="25"/>
          <w:rFonts w:hint="default" w:ascii="Times New Roman" w:hAnsi="Times New Roman" w:eastAsia="黑体" w:cs="Times New Roman"/>
          <w:b w:val="0"/>
          <w:color w:val="auto"/>
          <w:highlight w:val="none"/>
        </w:rPr>
        <w:t>入支出决算总体情况说明</w:t>
      </w:r>
      <w:bookmarkEnd w:id="18"/>
      <w:bookmarkEnd w:id="19"/>
    </w:p>
    <w:p>
      <w:pPr>
        <w:spacing w:line="60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年度收、支总计</w:t>
      </w:r>
      <w:r>
        <w:rPr>
          <w:rFonts w:hint="default" w:ascii="Times New Roman" w:hAnsi="Times New Roman" w:eastAsia="仿宋_GB2312" w:cs="Times New Roman"/>
          <w:color w:val="auto"/>
          <w:sz w:val="32"/>
          <w:szCs w:val="32"/>
          <w:highlight w:val="none"/>
          <w:lang w:val="en-US" w:eastAsia="zh-CN"/>
        </w:rPr>
        <w:t>971.95万元</w:t>
      </w:r>
      <w:r>
        <w:rPr>
          <w:rFonts w:hint="default" w:ascii="Times New Roman" w:hAnsi="Times New Roman" w:eastAsia="仿宋_GB2312" w:cs="Times New Roman"/>
          <w:color w:val="auto"/>
          <w:sz w:val="32"/>
          <w:szCs w:val="32"/>
          <w:highlight w:val="none"/>
        </w:rPr>
        <w:t>。与</w:t>
      </w:r>
      <w:r>
        <w:rPr>
          <w:rFonts w:hint="default" w:ascii="Times New Roman" w:hAnsi="Times New Roman" w:eastAsia="仿宋_GB2312" w:cs="Times New Roman"/>
          <w:color w:val="auto"/>
          <w:sz w:val="32"/>
          <w:szCs w:val="32"/>
          <w:highlight w:val="none"/>
          <w:lang w:eastAsia="zh-CN"/>
        </w:rPr>
        <w:t>2022</w:t>
      </w:r>
      <w:r>
        <w:rPr>
          <w:rFonts w:hint="default" w:ascii="Times New Roman" w:hAnsi="Times New Roman" w:eastAsia="仿宋_GB2312" w:cs="Times New Roman"/>
          <w:color w:val="auto"/>
          <w:sz w:val="32"/>
          <w:szCs w:val="32"/>
          <w:highlight w:val="none"/>
        </w:rPr>
        <w:t>年相比，收、支总计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各增加</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139.42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万元，增长</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16.75</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%。主要变动原因</w:t>
      </w:r>
      <w:r>
        <w:rPr>
          <w:rFonts w:hint="default" w:ascii="Times New Roman" w:hAnsi="Times New Roman" w:eastAsia="仿宋_GB2312" w:cs="Times New Roman"/>
          <w:sz w:val="32"/>
          <w:szCs w:val="32"/>
          <w:highlight w:val="none"/>
          <w:lang w:eastAsia="zh-CN"/>
        </w:rPr>
        <w:t>一是为保障基本单位名录库顺利运行，指导基层熟练掌握信息技术采集相关信息，增加了基本单位名录库专项预算；二是因缴费基数调整，单位应缴纳的基本养老保险及基本医疗保险增加</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spacing w:line="600" w:lineRule="exact"/>
        <w:ind w:firstLine="640" w:firstLineChars="200"/>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（图1：收、支决</w:t>
      </w:r>
      <w:r>
        <w:rPr>
          <w:rFonts w:hint="default" w:ascii="Times New Roman" w:hAnsi="Times New Roman" w:eastAsia="仿宋_GB2312" w:cs="Times New Roman"/>
          <w:color w:val="auto"/>
          <w:sz w:val="32"/>
          <w:szCs w:val="32"/>
          <w:highlight w:val="none"/>
        </w:rPr>
        <w:t>算总计变动情况图）</w:t>
      </w:r>
    </w:p>
    <w:p>
      <w:pPr>
        <w:pStyle w:val="2"/>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drawing>
          <wp:anchor distT="0" distB="0" distL="114300" distR="114300" simplePos="0" relativeHeight="251659264" behindDoc="0" locked="0" layoutInCell="1" allowOverlap="1">
            <wp:simplePos x="0" y="0"/>
            <wp:positionH relativeFrom="column">
              <wp:posOffset>156845</wp:posOffset>
            </wp:positionH>
            <wp:positionV relativeFrom="paragraph">
              <wp:posOffset>597535</wp:posOffset>
            </wp:positionV>
            <wp:extent cx="5022850" cy="2365375"/>
            <wp:effectExtent l="5080" t="4445" r="20320" b="1143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default" w:ascii="Times New Roman" w:hAnsi="Times New Roman" w:eastAsia="仿宋_GB2312" w:cs="Times New Roman"/>
          <w:color w:val="auto"/>
          <w:sz w:val="32"/>
          <w:szCs w:val="32"/>
          <w:highlight w:val="none"/>
          <w:lang w:val="en-US" w:eastAsia="zh-CN"/>
        </w:rPr>
        <w:t xml:space="preserve">                                        单位：万元</w:t>
      </w:r>
    </w:p>
    <w:p>
      <w:pPr>
        <w:pStyle w:val="23"/>
        <w:numPr>
          <w:ilvl w:val="0"/>
          <w:numId w:val="0"/>
        </w:numPr>
        <w:spacing w:line="600" w:lineRule="exact"/>
        <w:ind w:left="640" w:leftChars="0"/>
        <w:outlineLvl w:val="1"/>
        <w:rPr>
          <w:rStyle w:val="25"/>
          <w:rFonts w:hint="default" w:ascii="Times New Roman" w:hAnsi="Times New Roman" w:eastAsia="黑体" w:cs="Times New Roman"/>
          <w:b w:val="0"/>
          <w:color w:val="auto"/>
          <w:highlight w:val="none"/>
        </w:rPr>
      </w:pPr>
      <w:bookmarkStart w:id="20" w:name="_Toc15377206"/>
      <w:bookmarkStart w:id="21" w:name="_Toc15396604"/>
    </w:p>
    <w:p>
      <w:pPr>
        <w:pStyle w:val="23"/>
        <w:numPr>
          <w:ilvl w:val="0"/>
          <w:numId w:val="1"/>
        </w:numPr>
        <w:spacing w:line="600" w:lineRule="exact"/>
        <w:ind w:firstLineChars="0"/>
        <w:outlineLvl w:val="1"/>
        <w:rPr>
          <w:rStyle w:val="25"/>
          <w:rFonts w:hint="default" w:ascii="Times New Roman" w:hAnsi="Times New Roman" w:eastAsia="黑体" w:cs="Times New Roman"/>
          <w:b w:val="0"/>
          <w:color w:val="auto"/>
          <w:highlight w:val="none"/>
        </w:rPr>
      </w:pPr>
      <w:r>
        <w:rPr>
          <w:rFonts w:hint="default" w:ascii="Times New Roman" w:hAnsi="Times New Roman" w:eastAsia="黑体" w:cs="Times New Roman"/>
          <w:color w:val="auto"/>
          <w:sz w:val="32"/>
          <w:szCs w:val="32"/>
          <w:highlight w:val="none"/>
        </w:rPr>
        <w:t>收</w:t>
      </w:r>
      <w:r>
        <w:rPr>
          <w:rStyle w:val="25"/>
          <w:rFonts w:hint="default" w:ascii="Times New Roman" w:hAnsi="Times New Roman" w:eastAsia="黑体" w:cs="Times New Roman"/>
          <w:b w:val="0"/>
          <w:color w:val="auto"/>
          <w:highlight w:val="none"/>
        </w:rPr>
        <w:t>入决算情况说明</w:t>
      </w:r>
      <w:bookmarkEnd w:id="20"/>
      <w:bookmarkEnd w:id="21"/>
    </w:p>
    <w:p>
      <w:pPr>
        <w:spacing w:line="600" w:lineRule="exact"/>
        <w:ind w:firstLine="640" w:firstLineChars="200"/>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年本年收入合计</w:t>
      </w:r>
      <w:r>
        <w:rPr>
          <w:rFonts w:hint="default" w:ascii="Times New Roman" w:hAnsi="Times New Roman" w:eastAsia="仿宋_GB2312" w:cs="Times New Roman"/>
          <w:color w:val="auto"/>
          <w:sz w:val="32"/>
          <w:szCs w:val="32"/>
          <w:highlight w:val="none"/>
          <w:lang w:val="en-US" w:eastAsia="zh-CN"/>
        </w:rPr>
        <w:t>971.95</w:t>
      </w:r>
      <w:r>
        <w:rPr>
          <w:rFonts w:hint="default" w:ascii="Times New Roman" w:hAnsi="Times New Roman" w:eastAsia="仿宋_GB2312" w:cs="Times New Roman"/>
          <w:color w:val="auto"/>
          <w:sz w:val="32"/>
          <w:szCs w:val="32"/>
          <w:highlight w:val="none"/>
        </w:rPr>
        <w:t>万元，其中：一般公共预算财政拨款收入</w:t>
      </w:r>
      <w:r>
        <w:rPr>
          <w:rFonts w:hint="default" w:ascii="Times New Roman" w:hAnsi="Times New Roman" w:eastAsia="仿宋_GB2312" w:cs="Times New Roman"/>
          <w:color w:val="auto"/>
          <w:sz w:val="32"/>
          <w:szCs w:val="32"/>
          <w:highlight w:val="none"/>
          <w:lang w:val="en-US" w:eastAsia="zh-CN"/>
        </w:rPr>
        <w:t>971.95</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p>
    <w:p>
      <w:pPr>
        <w:pStyle w:val="2"/>
        <w:rPr>
          <w:rFonts w:hint="default" w:ascii="Times New Roman" w:hAnsi="Times New Roman" w:eastAsia="仿宋" w:cs="Times New Roman"/>
          <w:color w:val="auto"/>
          <w:sz w:val="32"/>
          <w:szCs w:val="32"/>
          <w:highlight w:val="none"/>
        </w:rPr>
      </w:pPr>
    </w:p>
    <w:p>
      <w:pPr>
        <w:spacing w:line="600" w:lineRule="exact"/>
        <w:ind w:firstLine="640" w:firstLineChars="200"/>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（图2：收入决算结构图）</w:t>
      </w:r>
    </w:p>
    <w:p>
      <w:pPr>
        <w:pStyle w:val="2"/>
        <w:rPr>
          <w:rFonts w:hint="default" w:ascii="Times New Roman" w:hAnsi="Times New Roman" w:eastAsia="仿宋_GB2312"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drawing>
          <wp:inline distT="0" distB="0" distL="114300" distR="114300">
            <wp:extent cx="5288915" cy="2190750"/>
            <wp:effectExtent l="4445" t="4445" r="21590"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23"/>
        <w:numPr>
          <w:ilvl w:val="0"/>
          <w:numId w:val="0"/>
        </w:numPr>
        <w:spacing w:line="600" w:lineRule="exact"/>
        <w:outlineLvl w:val="1"/>
        <w:rPr>
          <w:rStyle w:val="25"/>
          <w:rFonts w:hint="default" w:ascii="Times New Roman" w:hAnsi="Times New Roman" w:eastAsia="黑体" w:cs="Times New Roman"/>
          <w:b w:val="0"/>
          <w:color w:val="auto"/>
          <w:highlight w:val="none"/>
        </w:rPr>
      </w:pPr>
      <w:bookmarkStart w:id="22" w:name="_Toc15377207"/>
      <w:bookmarkStart w:id="23" w:name="_Toc15396605"/>
    </w:p>
    <w:p>
      <w:pPr>
        <w:pStyle w:val="23"/>
        <w:numPr>
          <w:ilvl w:val="0"/>
          <w:numId w:val="1"/>
        </w:numPr>
        <w:spacing w:line="600" w:lineRule="exact"/>
        <w:ind w:firstLineChars="0"/>
        <w:outlineLvl w:val="1"/>
        <w:rPr>
          <w:rStyle w:val="25"/>
          <w:rFonts w:hint="default" w:ascii="Times New Roman" w:hAnsi="Times New Roman" w:eastAsia="黑体" w:cs="Times New Roman"/>
          <w:b w:val="0"/>
          <w:color w:val="auto"/>
          <w:highlight w:val="none"/>
        </w:rPr>
      </w:pPr>
      <w:r>
        <w:rPr>
          <w:rFonts w:hint="default" w:ascii="Times New Roman" w:hAnsi="Times New Roman" w:eastAsia="黑体" w:cs="Times New Roman"/>
          <w:color w:val="auto"/>
          <w:sz w:val="32"/>
          <w:szCs w:val="32"/>
          <w:highlight w:val="none"/>
        </w:rPr>
        <w:t>支</w:t>
      </w:r>
      <w:r>
        <w:rPr>
          <w:rStyle w:val="25"/>
          <w:rFonts w:hint="default" w:ascii="Times New Roman" w:hAnsi="Times New Roman" w:eastAsia="黑体" w:cs="Times New Roman"/>
          <w:b w:val="0"/>
          <w:color w:val="auto"/>
          <w:highlight w:val="none"/>
        </w:rPr>
        <w:t>出决算情况说明</w:t>
      </w:r>
      <w:bookmarkEnd w:id="22"/>
      <w:bookmarkEnd w:id="23"/>
    </w:p>
    <w:p>
      <w:pPr>
        <w:spacing w:line="600" w:lineRule="exact"/>
        <w:ind w:firstLine="640" w:firstLineChars="200"/>
        <w:outlineLvl w:val="1"/>
        <w:rPr>
          <w:rFonts w:hint="default" w:ascii="Times New Roman" w:hAnsi="Times New Roman" w:eastAsia="仿宋_GB2312" w:cs="Times New Roman"/>
          <w:color w:val="auto"/>
          <w:sz w:val="32"/>
          <w:szCs w:val="32"/>
          <w:highlight w:val="none"/>
          <w:shd w:val="pct10" w:color="auto" w:fill="FFFFFF"/>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年本年支出合计</w:t>
      </w:r>
      <w:r>
        <w:rPr>
          <w:rFonts w:hint="default" w:ascii="Times New Roman" w:hAnsi="Times New Roman" w:eastAsia="仿宋_GB2312" w:cs="Times New Roman"/>
          <w:color w:val="auto"/>
          <w:sz w:val="32"/>
          <w:szCs w:val="32"/>
          <w:highlight w:val="none"/>
          <w:lang w:val="en-US" w:eastAsia="zh-CN"/>
        </w:rPr>
        <w:t>971.95</w:t>
      </w:r>
      <w:r>
        <w:rPr>
          <w:rFonts w:hint="default" w:ascii="Times New Roman" w:hAnsi="Times New Roman" w:eastAsia="仿宋_GB2312" w:cs="Times New Roman"/>
          <w:color w:val="auto"/>
          <w:sz w:val="32"/>
          <w:szCs w:val="32"/>
          <w:highlight w:val="none"/>
        </w:rPr>
        <w:t>万元，其中：基本支出</w:t>
      </w:r>
      <w:r>
        <w:rPr>
          <w:rFonts w:hint="default" w:ascii="Times New Roman" w:hAnsi="Times New Roman" w:eastAsia="仿宋_GB2312" w:cs="Times New Roman"/>
          <w:color w:val="auto"/>
          <w:sz w:val="32"/>
          <w:szCs w:val="32"/>
          <w:highlight w:val="none"/>
          <w:lang w:val="en-US" w:eastAsia="zh-CN"/>
        </w:rPr>
        <w:t>717.98</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73.87</w:t>
      </w:r>
      <w:r>
        <w:rPr>
          <w:rFonts w:hint="default" w:ascii="Times New Roman" w:hAnsi="Times New Roman" w:eastAsia="仿宋_GB2312" w:cs="Times New Roman"/>
          <w:color w:val="auto"/>
          <w:sz w:val="32"/>
          <w:szCs w:val="32"/>
          <w:highlight w:val="none"/>
        </w:rPr>
        <w:t>%；项目支出</w:t>
      </w:r>
      <w:r>
        <w:rPr>
          <w:rFonts w:hint="default" w:ascii="Times New Roman" w:hAnsi="Times New Roman" w:eastAsia="仿宋_GB2312" w:cs="Times New Roman"/>
          <w:color w:val="auto"/>
          <w:sz w:val="32"/>
          <w:szCs w:val="32"/>
          <w:highlight w:val="none"/>
          <w:lang w:val="en-US" w:eastAsia="zh-CN"/>
        </w:rPr>
        <w:t>253.97</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26.13</w:t>
      </w:r>
      <w:r>
        <w:rPr>
          <w:rFonts w:hint="default" w:ascii="Times New Roman" w:hAnsi="Times New Roman" w:eastAsia="仿宋_GB2312" w:cs="Times New Roman"/>
          <w:color w:val="auto"/>
          <w:sz w:val="32"/>
          <w:szCs w:val="32"/>
          <w:highlight w:val="none"/>
        </w:rPr>
        <w:t>%。</w:t>
      </w:r>
    </w:p>
    <w:p>
      <w:pPr>
        <w:spacing w:line="600" w:lineRule="exact"/>
        <w:ind w:firstLine="640" w:firstLineChars="200"/>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（图3：支出决算结构图）</w:t>
      </w:r>
    </w:p>
    <w:p>
      <w:pPr>
        <w:pStyle w:val="2"/>
        <w:rPr>
          <w:rFonts w:hint="default" w:ascii="Times New Roman" w:hAnsi="Times New Roman" w:eastAsia="仿宋_GB2312"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drawing>
          <wp:inline distT="0" distB="0" distL="114300" distR="114300">
            <wp:extent cx="5334000" cy="2250440"/>
            <wp:effectExtent l="5080" t="4445" r="13970" b="1206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0" w:firstLineChars="200"/>
        <w:outlineLvl w:val="1"/>
        <w:rPr>
          <w:rFonts w:hint="default" w:ascii="Times New Roman" w:hAnsi="Times New Roman" w:eastAsia="黑体" w:cs="Times New Roman"/>
          <w:color w:val="auto"/>
          <w:sz w:val="32"/>
          <w:szCs w:val="32"/>
          <w:highlight w:val="none"/>
        </w:rPr>
      </w:pPr>
      <w:bookmarkStart w:id="24" w:name="_Toc15396606"/>
      <w:bookmarkStart w:id="25" w:name="_Toc15377208"/>
    </w:p>
    <w:p>
      <w:pPr>
        <w:spacing w:line="600" w:lineRule="exact"/>
        <w:ind w:firstLine="640" w:firstLineChars="200"/>
        <w:outlineLvl w:val="1"/>
        <w:rPr>
          <w:rStyle w:val="25"/>
          <w:rFonts w:hint="default" w:ascii="Times New Roman" w:hAnsi="Times New Roman" w:eastAsia="黑体" w:cs="Times New Roman"/>
          <w:b w:val="0"/>
          <w:color w:val="auto"/>
          <w:highlight w:val="none"/>
        </w:rPr>
      </w:pPr>
      <w:r>
        <w:rPr>
          <w:rFonts w:hint="default" w:ascii="Times New Roman" w:hAnsi="Times New Roman" w:eastAsia="黑体" w:cs="Times New Roman"/>
          <w:color w:val="auto"/>
          <w:sz w:val="32"/>
          <w:szCs w:val="32"/>
          <w:highlight w:val="none"/>
        </w:rPr>
        <w:t>四、财</w:t>
      </w:r>
      <w:r>
        <w:rPr>
          <w:rStyle w:val="25"/>
          <w:rFonts w:hint="default" w:ascii="Times New Roman" w:hAnsi="Times New Roman" w:eastAsia="黑体" w:cs="Times New Roman"/>
          <w:b w:val="0"/>
          <w:color w:val="auto"/>
          <w:highlight w:val="none"/>
        </w:rPr>
        <w:t>政拨款收入支出决算总体情况说明</w:t>
      </w:r>
      <w:bookmarkEnd w:id="24"/>
      <w:bookmarkEnd w:id="25"/>
    </w:p>
    <w:p>
      <w:pPr>
        <w:spacing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年财政拨款收、支总计</w:t>
      </w:r>
      <w:r>
        <w:rPr>
          <w:rFonts w:hint="default" w:ascii="Times New Roman" w:hAnsi="Times New Roman" w:eastAsia="仿宋_GB2312" w:cs="Times New Roman"/>
          <w:color w:val="auto"/>
          <w:sz w:val="32"/>
          <w:szCs w:val="32"/>
          <w:highlight w:val="none"/>
          <w:lang w:val="en-US" w:eastAsia="zh-CN"/>
        </w:rPr>
        <w:t>971.95</w:t>
      </w:r>
      <w:r>
        <w:rPr>
          <w:rFonts w:hint="default" w:ascii="Times New Roman" w:hAnsi="Times New Roman" w:eastAsia="仿宋_GB2312" w:cs="Times New Roman"/>
          <w:color w:val="auto"/>
          <w:sz w:val="32"/>
          <w:szCs w:val="32"/>
          <w:highlight w:val="none"/>
        </w:rPr>
        <w:t>万元。与</w:t>
      </w:r>
      <w:r>
        <w:rPr>
          <w:rFonts w:hint="default" w:ascii="Times New Roman" w:hAnsi="Times New Roman" w:eastAsia="仿宋_GB2312" w:cs="Times New Roman"/>
          <w:color w:val="auto"/>
          <w:sz w:val="32"/>
          <w:szCs w:val="32"/>
          <w:highlight w:val="none"/>
          <w:lang w:eastAsia="zh-CN"/>
        </w:rPr>
        <w:t>2022</w:t>
      </w:r>
      <w:r>
        <w:rPr>
          <w:rFonts w:hint="default" w:ascii="Times New Roman" w:hAnsi="Times New Roman" w:eastAsia="仿宋_GB2312" w:cs="Times New Roman"/>
          <w:color w:val="auto"/>
          <w:sz w:val="32"/>
          <w:szCs w:val="32"/>
          <w:highlight w:val="none"/>
        </w:rPr>
        <w:t>年相比，财政拨款收、支总计各增加</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139.42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万元，增长</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16.75</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%。主要变动原因</w:t>
      </w:r>
      <w:r>
        <w:rPr>
          <w:rFonts w:hint="default" w:ascii="Times New Roman" w:hAnsi="Times New Roman" w:eastAsia="仿宋_GB2312" w:cs="Times New Roman"/>
          <w:sz w:val="32"/>
          <w:szCs w:val="32"/>
          <w:highlight w:val="none"/>
          <w:lang w:eastAsia="zh-CN"/>
        </w:rPr>
        <w:t>一是为保障基本单位名录库顺利运行，指导基层熟练掌握信息技术采集相关信息，增加了基本单位名录库专项预算；二是因缴费基数调整，单位应缴纳的基本养老保险及基本医疗保险增加</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spacing w:line="600" w:lineRule="exact"/>
        <w:ind w:firstLine="1280" w:firstLineChars="4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（图4：财政拨款收、支决算总计变动情况）</w:t>
      </w:r>
    </w:p>
    <w:p>
      <w:pPr>
        <w:spacing w:line="600" w:lineRule="exact"/>
        <w:ind w:firstLine="640"/>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 xml:space="preserve">                                     </w:t>
      </w:r>
      <w:r>
        <w:rPr>
          <w:rFonts w:hint="default" w:ascii="Times New Roman" w:hAnsi="Times New Roman" w:eastAsia="仿宋_GB2312" w:cs="Times New Roman"/>
          <w:b w:val="0"/>
          <w:bCs/>
          <w:color w:val="auto"/>
          <w:sz w:val="32"/>
          <w:szCs w:val="32"/>
          <w:highlight w:val="none"/>
          <w:lang w:val="en-US" w:eastAsia="zh-CN"/>
        </w:rPr>
        <w:t>单位：万元</w:t>
      </w:r>
    </w:p>
    <w:p>
      <w:pPr>
        <w:spacing w:line="600" w:lineRule="exact"/>
        <w:ind w:firstLine="640" w:firstLineChars="200"/>
        <w:outlineLvl w:val="1"/>
        <w:rPr>
          <w:rFonts w:hint="default" w:ascii="Times New Roman" w:hAnsi="Times New Roman" w:eastAsia="黑体" w:cs="Times New Roman"/>
          <w:color w:val="auto"/>
          <w:sz w:val="32"/>
          <w:szCs w:val="32"/>
          <w:highlight w:val="none"/>
        </w:rPr>
      </w:pPr>
      <w:bookmarkStart w:id="26" w:name="_Toc15396607"/>
      <w:bookmarkStart w:id="27" w:name="_Toc15377209"/>
      <w:r>
        <w:rPr>
          <w:rFonts w:hint="default" w:ascii="Times New Roman" w:hAnsi="Times New Roman" w:eastAsia="仿宋_GB2312" w:cs="Times New Roman"/>
          <w:color w:val="auto"/>
          <w:sz w:val="32"/>
          <w:szCs w:val="32"/>
          <w:highlight w:val="none"/>
          <w:lang w:eastAsia="zh-CN"/>
        </w:rPr>
        <w:drawing>
          <wp:anchor distT="0" distB="0" distL="114300" distR="114300" simplePos="0" relativeHeight="251660288" behindDoc="0" locked="0" layoutInCell="1" allowOverlap="1">
            <wp:simplePos x="0" y="0"/>
            <wp:positionH relativeFrom="column">
              <wp:posOffset>247015</wp:posOffset>
            </wp:positionH>
            <wp:positionV relativeFrom="paragraph">
              <wp:posOffset>96520</wp:posOffset>
            </wp:positionV>
            <wp:extent cx="5283835" cy="2529840"/>
            <wp:effectExtent l="4445" t="4445" r="7620" b="18415"/>
            <wp:wrapSquare wrapText="bothSides"/>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spacing w:line="600" w:lineRule="exact"/>
        <w:ind w:firstLine="640" w:firstLineChars="200"/>
        <w:outlineLvl w:val="1"/>
        <w:rPr>
          <w:rStyle w:val="25"/>
          <w:rFonts w:hint="default" w:ascii="Times New Roman" w:hAnsi="Times New Roman" w:eastAsia="黑体" w:cs="Times New Roman"/>
          <w:b w:val="0"/>
          <w:color w:val="auto"/>
          <w:highlight w:val="none"/>
        </w:rPr>
      </w:pPr>
      <w:r>
        <w:rPr>
          <w:rFonts w:hint="default" w:ascii="Times New Roman" w:hAnsi="Times New Roman" w:eastAsia="黑体" w:cs="Times New Roman"/>
          <w:color w:val="auto"/>
          <w:sz w:val="32"/>
          <w:szCs w:val="32"/>
          <w:highlight w:val="none"/>
        </w:rPr>
        <w:t>五、</w:t>
      </w:r>
      <w:r>
        <w:rPr>
          <w:rFonts w:hint="default" w:ascii="Times New Roman" w:hAnsi="Times New Roman" w:eastAsia="黑体" w:cs="Times New Roman"/>
          <w:b/>
          <w:color w:val="auto"/>
          <w:sz w:val="32"/>
          <w:szCs w:val="32"/>
          <w:highlight w:val="none"/>
        </w:rPr>
        <w:t>一</w:t>
      </w:r>
      <w:r>
        <w:rPr>
          <w:rStyle w:val="25"/>
          <w:rFonts w:hint="default" w:ascii="Times New Roman" w:hAnsi="Times New Roman" w:eastAsia="黑体" w:cs="Times New Roman"/>
          <w:b w:val="0"/>
          <w:color w:val="auto"/>
          <w:highlight w:val="none"/>
        </w:rPr>
        <w:t>般公共预算财政拨款支出决算情况说明</w:t>
      </w:r>
      <w:bookmarkEnd w:id="26"/>
      <w:bookmarkEnd w:id="27"/>
    </w:p>
    <w:p>
      <w:pPr>
        <w:spacing w:line="600" w:lineRule="exact"/>
        <w:ind w:firstLine="642" w:firstLineChars="200"/>
        <w:outlineLvl w:val="2"/>
        <w:rPr>
          <w:rFonts w:hint="default" w:ascii="Times New Roman" w:hAnsi="Times New Roman" w:eastAsia="仿宋_GB2312" w:cs="Times New Roman"/>
          <w:b/>
          <w:color w:val="auto"/>
          <w:sz w:val="32"/>
          <w:szCs w:val="32"/>
          <w:highlight w:val="none"/>
        </w:rPr>
      </w:pPr>
      <w:bookmarkStart w:id="28" w:name="_Toc15377210"/>
      <w:r>
        <w:rPr>
          <w:rFonts w:hint="default" w:ascii="Times New Roman" w:hAnsi="Times New Roman" w:eastAsia="仿宋_GB2312" w:cs="Times New Roman"/>
          <w:b/>
          <w:color w:val="auto"/>
          <w:sz w:val="32"/>
          <w:szCs w:val="32"/>
          <w:highlight w:val="none"/>
        </w:rPr>
        <w:t>（一）一般公共预算财政拨款支出决算总体情况</w:t>
      </w:r>
      <w:bookmarkEnd w:id="28"/>
    </w:p>
    <w:p>
      <w:pPr>
        <w:spacing w:line="60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年一般公共预算财政拨款支出</w:t>
      </w:r>
      <w:r>
        <w:rPr>
          <w:rFonts w:hint="default" w:ascii="Times New Roman" w:hAnsi="Times New Roman" w:eastAsia="仿宋_GB2312" w:cs="Times New Roman"/>
          <w:color w:val="auto"/>
          <w:sz w:val="32"/>
          <w:szCs w:val="32"/>
          <w:highlight w:val="none"/>
          <w:lang w:val="en-US" w:eastAsia="zh-CN"/>
        </w:rPr>
        <w:t>971.95</w:t>
      </w:r>
      <w:r>
        <w:rPr>
          <w:rFonts w:hint="default" w:ascii="Times New Roman" w:hAnsi="Times New Roman" w:eastAsia="仿宋_GB2312" w:cs="Times New Roman"/>
          <w:color w:val="auto"/>
          <w:sz w:val="32"/>
          <w:szCs w:val="32"/>
          <w:highlight w:val="none"/>
        </w:rPr>
        <w:t>万元，占本年支出合计的</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%。与</w:t>
      </w:r>
      <w:r>
        <w:rPr>
          <w:rFonts w:hint="default" w:ascii="Times New Roman" w:hAnsi="Times New Roman" w:eastAsia="仿宋_GB2312" w:cs="Times New Roman"/>
          <w:color w:val="auto"/>
          <w:sz w:val="32"/>
          <w:szCs w:val="32"/>
          <w:highlight w:val="none"/>
          <w:lang w:eastAsia="zh-CN"/>
        </w:rPr>
        <w:t>2022</w:t>
      </w:r>
      <w:r>
        <w:rPr>
          <w:rFonts w:hint="default" w:ascii="Times New Roman" w:hAnsi="Times New Roman" w:eastAsia="仿宋_GB2312" w:cs="Times New Roman"/>
          <w:color w:val="auto"/>
          <w:sz w:val="32"/>
          <w:szCs w:val="32"/>
          <w:highlight w:val="none"/>
        </w:rPr>
        <w:t>年相比，一般公共预算财政拨款</w:t>
      </w:r>
      <w:r>
        <w:rPr>
          <w:rFonts w:hint="default" w:ascii="Times New Roman" w:hAnsi="Times New Roman" w:eastAsia="仿宋_GB2312" w:cs="Times New Roman"/>
          <w:color w:val="auto"/>
          <w:sz w:val="32"/>
          <w:szCs w:val="32"/>
          <w:highlight w:val="none"/>
          <w:lang w:eastAsia="zh-CN"/>
        </w:rPr>
        <w:t>支出</w:t>
      </w:r>
      <w:r>
        <w:rPr>
          <w:rFonts w:hint="default" w:ascii="Times New Roman" w:hAnsi="Times New Roman" w:eastAsia="仿宋_GB2312" w:cs="Times New Roman"/>
          <w:color w:val="auto"/>
          <w:sz w:val="32"/>
          <w:szCs w:val="32"/>
          <w:highlight w:val="none"/>
        </w:rPr>
        <w:t>增加</w:t>
      </w:r>
      <w:r>
        <w:rPr>
          <w:rFonts w:hint="default" w:ascii="Times New Roman" w:hAnsi="Times New Roman" w:eastAsia="仿宋_GB2312" w:cs="Times New Roman"/>
          <w:color w:val="auto"/>
          <w:sz w:val="32"/>
          <w:szCs w:val="32"/>
          <w:highlight w:val="none"/>
          <w:lang w:val="en-US" w:eastAsia="zh-CN"/>
        </w:rPr>
        <w:t>139.42</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16.75</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主要变动原因</w:t>
      </w:r>
      <w:r>
        <w:rPr>
          <w:rFonts w:hint="default" w:ascii="Times New Roman" w:hAnsi="Times New Roman" w:eastAsia="仿宋_GB2312" w:cs="Times New Roman"/>
          <w:sz w:val="32"/>
          <w:szCs w:val="32"/>
          <w:highlight w:val="none"/>
          <w:lang w:eastAsia="zh-CN"/>
        </w:rPr>
        <w:t>一是为保障基本单位名录库顺利运行，指导基层熟练掌握信息技术采集相关信息，增加了基本单位名录库专项预算；二是因缴费基数调整，单位应缴纳的基本养老保险及基本医疗保险增加</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spacing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（图5：一般公共预算财政拨款支出决算变动情况）</w:t>
      </w:r>
    </w:p>
    <w:p>
      <w:pPr>
        <w:spacing w:line="600" w:lineRule="exact"/>
        <w:ind w:firstLine="640" w:firstLineChars="200"/>
        <w:rPr>
          <w:rFonts w:hint="default" w:ascii="Times New Roman" w:hAnsi="Times New Roman" w:eastAsia="仿宋"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 xml:space="preserve">                                      单位：万元</w:t>
      </w:r>
    </w:p>
    <w:p>
      <w:pPr>
        <w:spacing w:line="600" w:lineRule="exact"/>
        <w:ind w:firstLine="640" w:firstLineChars="200"/>
        <w:outlineLvl w:val="2"/>
        <w:rPr>
          <w:rFonts w:hint="default" w:ascii="Times New Roman" w:hAnsi="Times New Roman" w:eastAsia="仿宋_GB2312" w:cs="Times New Roman"/>
          <w:b/>
          <w:color w:val="auto"/>
          <w:sz w:val="32"/>
          <w:szCs w:val="32"/>
          <w:highlight w:val="none"/>
        </w:rPr>
      </w:pPr>
      <w:bookmarkStart w:id="29" w:name="_Toc15377211"/>
      <w:r>
        <w:rPr>
          <w:rFonts w:hint="default" w:ascii="Times New Roman" w:hAnsi="Times New Roman" w:eastAsia="仿宋_GB2312" w:cs="Times New Roman"/>
          <w:color w:val="auto"/>
          <w:sz w:val="32"/>
          <w:szCs w:val="32"/>
          <w:highlight w:val="none"/>
          <w:lang w:eastAsia="zh-CN"/>
        </w:rPr>
        <w:drawing>
          <wp:anchor distT="0" distB="0" distL="114300" distR="114300" simplePos="0" relativeHeight="251661312" behindDoc="0" locked="0" layoutInCell="1" allowOverlap="1">
            <wp:simplePos x="0" y="0"/>
            <wp:positionH relativeFrom="column">
              <wp:posOffset>74295</wp:posOffset>
            </wp:positionH>
            <wp:positionV relativeFrom="paragraph">
              <wp:posOffset>194945</wp:posOffset>
            </wp:positionV>
            <wp:extent cx="5222875" cy="2261235"/>
            <wp:effectExtent l="4445" t="4445" r="11430" b="20320"/>
            <wp:wrapTopAndBottom/>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default" w:ascii="Times New Roman" w:hAnsi="Times New Roman" w:eastAsia="仿宋_GB2312" w:cs="Times New Roman"/>
          <w:b/>
          <w:color w:val="auto"/>
          <w:sz w:val="32"/>
          <w:szCs w:val="32"/>
          <w:highlight w:val="none"/>
        </w:rPr>
        <w:t>（二）一般公共预算财政拨款支出决算结构情况</w:t>
      </w:r>
      <w:bookmarkEnd w:id="29"/>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年一般公共预算财政拨款支出</w:t>
      </w:r>
      <w:r>
        <w:rPr>
          <w:rFonts w:hint="default" w:ascii="Times New Roman" w:hAnsi="Times New Roman" w:eastAsia="仿宋_GB2312" w:cs="Times New Roman"/>
          <w:color w:val="auto"/>
          <w:sz w:val="32"/>
          <w:szCs w:val="32"/>
          <w:highlight w:val="none"/>
          <w:lang w:val="en-US" w:eastAsia="zh-CN"/>
        </w:rPr>
        <w:t>971.95</w:t>
      </w:r>
      <w:r>
        <w:rPr>
          <w:rFonts w:hint="default" w:ascii="Times New Roman" w:hAnsi="Times New Roman" w:eastAsia="仿宋_GB2312" w:cs="Times New Roman"/>
          <w:color w:val="auto"/>
          <w:sz w:val="32"/>
          <w:szCs w:val="32"/>
          <w:highlight w:val="none"/>
        </w:rPr>
        <w:t>万元，主要用于以下方面:</w:t>
      </w:r>
      <w:r>
        <w:rPr>
          <w:rFonts w:hint="default" w:ascii="Times New Roman" w:hAnsi="Times New Roman" w:eastAsia="仿宋_GB2312" w:cs="Times New Roman"/>
          <w:b/>
          <w:color w:val="auto"/>
          <w:sz w:val="32"/>
          <w:szCs w:val="32"/>
          <w:highlight w:val="none"/>
        </w:rPr>
        <w:t>一般公共服务</w:t>
      </w:r>
      <w:r>
        <w:rPr>
          <w:rFonts w:hint="default" w:ascii="Times New Roman" w:hAnsi="Times New Roman" w:eastAsia="仿宋_GB2312" w:cs="Times New Roman"/>
          <w:b/>
          <w:bCs/>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732.86</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75.40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
          <w:color w:val="auto"/>
          <w:sz w:val="32"/>
          <w:szCs w:val="32"/>
          <w:highlight w:val="none"/>
        </w:rPr>
        <w:t>教育支出</w:t>
      </w:r>
      <w:r>
        <w:rPr>
          <w:rFonts w:hint="default" w:ascii="Times New Roman" w:hAnsi="Times New Roman" w:eastAsia="仿宋_GB2312" w:cs="Times New Roman"/>
          <w:color w:val="auto"/>
          <w:sz w:val="32"/>
          <w:szCs w:val="32"/>
          <w:highlight w:val="none"/>
          <w:lang w:val="en-US" w:eastAsia="zh-CN"/>
        </w:rPr>
        <w:t>10.55</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1.09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
          <w:color w:val="auto"/>
          <w:sz w:val="32"/>
          <w:szCs w:val="32"/>
          <w:highlight w:val="none"/>
        </w:rPr>
        <w:t>社会保障和就业</w:t>
      </w:r>
      <w:r>
        <w:rPr>
          <w:rFonts w:hint="default" w:ascii="Times New Roman" w:hAnsi="Times New Roman" w:eastAsia="仿宋_GB2312" w:cs="Times New Roman"/>
          <w:b/>
          <w:bCs/>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84.85</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8.73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
          <w:bCs/>
          <w:color w:val="auto"/>
          <w:sz w:val="32"/>
          <w:szCs w:val="32"/>
          <w:highlight w:val="none"/>
        </w:rPr>
        <w:t>卫生健康支出</w:t>
      </w:r>
      <w:r>
        <w:rPr>
          <w:rFonts w:hint="default" w:ascii="Times New Roman" w:hAnsi="Times New Roman" w:eastAsia="仿宋_GB2312" w:cs="Times New Roman"/>
          <w:color w:val="auto"/>
          <w:sz w:val="32"/>
          <w:szCs w:val="32"/>
          <w:highlight w:val="none"/>
          <w:lang w:val="en-US" w:eastAsia="zh-CN"/>
        </w:rPr>
        <w:t>47.12</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4.85</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
          <w:bCs/>
          <w:color w:val="auto"/>
          <w:sz w:val="32"/>
          <w:szCs w:val="32"/>
          <w:highlight w:val="none"/>
        </w:rPr>
        <w:t>住房保障支出</w:t>
      </w:r>
      <w:r>
        <w:rPr>
          <w:rFonts w:hint="default" w:ascii="Times New Roman" w:hAnsi="Times New Roman" w:eastAsia="仿宋_GB2312" w:cs="Times New Roman"/>
          <w:color w:val="auto"/>
          <w:sz w:val="32"/>
          <w:szCs w:val="32"/>
          <w:highlight w:val="none"/>
          <w:lang w:val="en-US" w:eastAsia="zh-CN"/>
        </w:rPr>
        <w:t>96.58</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9.93</w:t>
      </w:r>
      <w:r>
        <w:rPr>
          <w:rFonts w:hint="default" w:ascii="Times New Roman" w:hAnsi="Times New Roman" w:eastAsia="仿宋_GB2312" w:cs="Times New Roman"/>
          <w:color w:val="auto"/>
          <w:sz w:val="32"/>
          <w:szCs w:val="32"/>
          <w:highlight w:val="none"/>
        </w:rPr>
        <w:t>%。</w:t>
      </w:r>
    </w:p>
    <w:p>
      <w:pPr>
        <w:spacing w:line="600" w:lineRule="exact"/>
        <w:ind w:firstLine="640" w:firstLineChars="200"/>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（图6：一般公共预算财政拨款支出决算结构）</w:t>
      </w:r>
    </w:p>
    <w:p>
      <w:pPr>
        <w:pStyle w:val="2"/>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drawing>
          <wp:inline distT="0" distB="0" distL="114300" distR="114300">
            <wp:extent cx="5248275" cy="2372360"/>
            <wp:effectExtent l="4445" t="4445" r="5080" b="2349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2" w:firstLineChars="200"/>
        <w:outlineLvl w:val="2"/>
        <w:rPr>
          <w:rFonts w:hint="default" w:ascii="Times New Roman" w:hAnsi="Times New Roman" w:eastAsia="仿宋_GB2312" w:cs="Times New Roman"/>
          <w:b/>
          <w:color w:val="auto"/>
          <w:sz w:val="32"/>
          <w:szCs w:val="32"/>
          <w:highlight w:val="none"/>
        </w:rPr>
      </w:pPr>
      <w:bookmarkStart w:id="30" w:name="_Toc15377212"/>
      <w:r>
        <w:rPr>
          <w:rFonts w:hint="default" w:ascii="Times New Roman" w:hAnsi="Times New Roman" w:eastAsia="仿宋_GB2312" w:cs="Times New Roman"/>
          <w:b/>
          <w:color w:val="auto"/>
          <w:sz w:val="32"/>
          <w:szCs w:val="32"/>
          <w:highlight w:val="none"/>
        </w:rPr>
        <w:t>（三）一般公共预算财政拨款支出决算具体情况</w:t>
      </w:r>
      <w:bookmarkEnd w:id="30"/>
    </w:p>
    <w:p>
      <w:pPr>
        <w:spacing w:line="600" w:lineRule="exact"/>
        <w:ind w:firstLine="642" w:firstLineChars="200"/>
        <w:outlineLvl w:val="2"/>
        <w:rPr>
          <w:rFonts w:hint="default" w:ascii="Times New Roman" w:hAnsi="Times New Roman" w:eastAsia="仿宋_GB2312" w:cs="Times New Roman"/>
          <w:color w:val="auto"/>
          <w:sz w:val="32"/>
          <w:szCs w:val="32"/>
          <w:highlight w:val="none"/>
        </w:rPr>
      </w:pPr>
      <w:bookmarkStart w:id="31" w:name="_Toc15377444"/>
      <w:bookmarkStart w:id="32" w:name="_Toc15378460"/>
      <w:bookmarkStart w:id="33" w:name="_Toc15377213"/>
      <w:r>
        <w:rPr>
          <w:rFonts w:hint="default" w:ascii="Times New Roman" w:hAnsi="Times New Roman" w:eastAsia="仿宋_GB2312" w:cs="Times New Roman"/>
          <w:b/>
          <w:color w:val="auto"/>
          <w:sz w:val="32"/>
          <w:szCs w:val="32"/>
          <w:highlight w:val="none"/>
          <w:lang w:eastAsia="zh-CN"/>
        </w:rPr>
        <w:t>2023</w:t>
      </w:r>
      <w:r>
        <w:rPr>
          <w:rFonts w:hint="default" w:ascii="Times New Roman" w:hAnsi="Times New Roman" w:eastAsia="仿宋_GB2312" w:cs="Times New Roman"/>
          <w:b/>
          <w:color w:val="auto"/>
          <w:sz w:val="32"/>
          <w:szCs w:val="32"/>
          <w:highlight w:val="none"/>
        </w:rPr>
        <w:t>年</w:t>
      </w:r>
      <w:r>
        <w:rPr>
          <w:rFonts w:hint="default" w:ascii="Times New Roman" w:hAnsi="Times New Roman" w:eastAsia="仿宋_GB2312" w:cs="Times New Roman"/>
          <w:b/>
          <w:color w:val="auto"/>
          <w:sz w:val="32"/>
          <w:szCs w:val="32"/>
          <w:highlight w:val="none"/>
          <w:lang w:eastAsia="zh-CN"/>
        </w:rPr>
        <w:t>一</w:t>
      </w:r>
      <w:r>
        <w:rPr>
          <w:rFonts w:hint="default" w:ascii="Times New Roman" w:hAnsi="Times New Roman" w:eastAsia="仿宋_GB2312" w:cs="Times New Roman"/>
          <w:b/>
          <w:color w:val="auto"/>
          <w:sz w:val="32"/>
          <w:szCs w:val="32"/>
          <w:highlight w:val="none"/>
        </w:rPr>
        <w:t>般公共预算支出决算数为</w:t>
      </w:r>
      <w:r>
        <w:rPr>
          <w:rFonts w:hint="default" w:ascii="Times New Roman" w:hAnsi="Times New Roman" w:eastAsia="仿宋_GB2312" w:cs="Times New Roman"/>
          <w:b/>
          <w:color w:val="auto"/>
          <w:sz w:val="32"/>
          <w:szCs w:val="32"/>
          <w:highlight w:val="none"/>
          <w:lang w:val="en-US" w:eastAsia="zh-CN"/>
        </w:rPr>
        <w:t>971.95万元</w:t>
      </w:r>
      <w:r>
        <w:rPr>
          <w:rFonts w:hint="default" w:ascii="Times New Roman" w:hAnsi="Times New Roman" w:eastAsia="仿宋_GB2312" w:cs="Times New Roman"/>
          <w:color w:val="auto"/>
          <w:sz w:val="32"/>
          <w:szCs w:val="32"/>
          <w:highlight w:val="none"/>
        </w:rPr>
        <w:t>，</w:t>
      </w:r>
      <w:r>
        <w:rPr>
          <w:rStyle w:val="14"/>
          <w:rFonts w:hint="default" w:ascii="Times New Roman" w:hAnsi="Times New Roman" w:eastAsia="仿宋_GB2312" w:cs="Times New Roman"/>
          <w:bCs/>
          <w:color w:val="auto"/>
          <w:sz w:val="32"/>
          <w:szCs w:val="32"/>
          <w:highlight w:val="none"/>
        </w:rPr>
        <w:t>完成预算</w:t>
      </w:r>
      <w:r>
        <w:rPr>
          <w:rStyle w:val="14"/>
          <w:rFonts w:hint="default" w:ascii="Times New Roman" w:hAnsi="Times New Roman" w:eastAsia="仿宋_GB2312" w:cs="Times New Roman"/>
          <w:bCs/>
          <w:color w:val="auto"/>
          <w:sz w:val="32"/>
          <w:szCs w:val="32"/>
          <w:highlight w:val="none"/>
          <w:lang w:val="en-US" w:eastAsia="zh-CN"/>
        </w:rPr>
        <w:t>91.16</w:t>
      </w:r>
      <w:r>
        <w:rPr>
          <w:rStyle w:val="14"/>
          <w:rFonts w:hint="default" w:ascii="Times New Roman" w:hAnsi="Times New Roman" w:eastAsia="仿宋_GB2312" w:cs="Times New Roman"/>
          <w:bCs/>
          <w:color w:val="auto"/>
          <w:sz w:val="32"/>
          <w:szCs w:val="32"/>
          <w:highlight w:val="none"/>
        </w:rPr>
        <w:t>%。其中：</w:t>
      </w:r>
      <w:bookmarkEnd w:id="31"/>
      <w:bookmarkEnd w:id="32"/>
      <w:bookmarkEnd w:id="33"/>
    </w:p>
    <w:p>
      <w:pPr>
        <w:numPr>
          <w:ilvl w:val="0"/>
          <w:numId w:val="0"/>
        </w:numPr>
        <w:spacing w:line="600" w:lineRule="exact"/>
        <w:ind w:firstLine="642" w:firstLineChars="200"/>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pPr>
      <w:r>
        <w:rPr>
          <w:rStyle w:val="14"/>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1.</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一般公共服务（类）统计信息事务（款）行政运行（项）:</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支出决算为</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478.87</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万元，完成预算</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88.41</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%，决算数小于预算数的主要原因是一是</w:t>
      </w:r>
      <w:r>
        <w:rPr>
          <w:rStyle w:val="14"/>
          <w:rFonts w:hint="default" w:ascii="Times New Roman" w:hAnsi="Times New Roman" w:eastAsia="仿宋_GB2312" w:cs="Times New Roman"/>
          <w:b w:val="0"/>
          <w:bCs/>
          <w:color w:val="000000" w:themeColor="text1"/>
          <w:sz w:val="32"/>
          <w:szCs w:val="32"/>
          <w:lang w:eastAsia="zh-CN"/>
          <w14:textFill>
            <w14:solidFill>
              <w14:schemeClr w14:val="tx1"/>
            </w14:solidFill>
          </w14:textFill>
        </w:rPr>
        <w:t>单位厉行节约，日常公用开支减少</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。二是</w:t>
      </w:r>
      <w:r>
        <w:rPr>
          <w:rStyle w:val="14"/>
          <w:rFonts w:hint="default" w:ascii="Times New Roman" w:hAnsi="Times New Roman" w:eastAsia="仿宋_GB2312" w:cs="Times New Roman"/>
          <w:b w:val="0"/>
          <w:bCs/>
          <w:color w:val="000000" w:themeColor="text1"/>
          <w:sz w:val="32"/>
          <w:szCs w:val="32"/>
          <w:lang w:eastAsia="zh-CN"/>
          <w14:textFill>
            <w14:solidFill>
              <w14:schemeClr w14:val="tx1"/>
            </w14:solidFill>
          </w14:textFill>
        </w:rPr>
        <w:t>当年经济普查职工出差较多，单位伙食费结余较大</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w:t>
      </w:r>
    </w:p>
    <w:p>
      <w:pPr>
        <w:pStyle w:val="2"/>
        <w:spacing w:before="93"/>
        <w:ind w:firstLine="600"/>
        <w:rPr>
          <w:rStyle w:val="14"/>
          <w:rFonts w:hint="default" w:ascii="Times New Roman" w:hAnsi="Times New Roman" w:eastAsia="仿宋_GB2312" w:cs="Times New Roman"/>
          <w:b w:val="0"/>
          <w:bCs/>
          <w:color w:val="000000" w:themeColor="text1"/>
          <w:sz w:val="32"/>
          <w:szCs w:val="32"/>
          <w:lang w:eastAsia="zh-CN"/>
          <w14:textFill>
            <w14:solidFill>
              <w14:schemeClr w14:val="tx1"/>
            </w14:solidFill>
          </w14:textFill>
        </w:rPr>
      </w:pPr>
      <w:r>
        <w:rPr>
          <w:rStyle w:val="14"/>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2.</w:t>
      </w:r>
      <w:r>
        <w:rPr>
          <w:rStyle w:val="14"/>
          <w:rFonts w:hint="default" w:ascii="Times New Roman" w:hAnsi="Times New Roman" w:eastAsia="仿宋_GB2312" w:cs="Times New Roman"/>
          <w:bCs/>
          <w:color w:val="000000" w:themeColor="text1"/>
          <w:kern w:val="2"/>
          <w:sz w:val="32"/>
          <w:szCs w:val="32"/>
          <w14:textFill>
            <w14:solidFill>
              <w14:schemeClr w14:val="tx1"/>
            </w14:solidFill>
          </w14:textFill>
        </w:rPr>
        <w:t>一般公共服</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务（类）统计信息事务（款）</w:t>
      </w:r>
      <w:r>
        <w:rPr>
          <w:rStyle w:val="14"/>
          <w:rFonts w:hint="default" w:ascii="Times New Roman" w:hAnsi="Times New Roman" w:eastAsia="仿宋_GB2312" w:cs="Times New Roman"/>
          <w:bCs/>
          <w:color w:val="000000" w:themeColor="text1"/>
          <w:sz w:val="32"/>
          <w:szCs w:val="32"/>
          <w:lang w:eastAsia="zh-CN"/>
          <w14:textFill>
            <w14:solidFill>
              <w14:schemeClr w14:val="tx1"/>
            </w14:solidFill>
          </w14:textFill>
        </w:rPr>
        <w:t>其他统计信息事务支出</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（项）：</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支出决算为</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253.97</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万元，完成预算</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92.62</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w:t>
      </w:r>
      <w:r>
        <w:rPr>
          <w:rStyle w:val="14"/>
          <w:rFonts w:hint="default" w:ascii="Times New Roman" w:hAnsi="Times New Roman" w:eastAsia="仿宋_GB2312" w:cs="Times New Roman"/>
          <w:b w:val="0"/>
          <w:bCs/>
          <w:color w:val="000000" w:themeColor="text1"/>
          <w:sz w:val="32"/>
          <w:szCs w:val="32"/>
          <w:lang w:eastAsia="zh-CN"/>
          <w14:textFill>
            <w14:solidFill>
              <w14:schemeClr w14:val="tx1"/>
            </w14:solidFill>
          </w14:textFill>
        </w:rPr>
        <w:t>。</w:t>
      </w:r>
    </w:p>
    <w:p>
      <w:pPr>
        <w:spacing w:line="600" w:lineRule="exact"/>
        <w:ind w:firstLine="642" w:firstLineChars="200"/>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pPr>
      <w:r>
        <w:rPr>
          <w:rStyle w:val="14"/>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3</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.教育支出（类）进修及培训（款）培训支出（项）：</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支出决算为</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10.55</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万元，完成预算</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55.53</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%，决算数小于预算数的主要原因是</w:t>
      </w:r>
      <w:r>
        <w:rPr>
          <w:rStyle w:val="14"/>
          <w:rFonts w:hint="default" w:ascii="Times New Roman" w:hAnsi="Times New Roman" w:eastAsia="仿宋_GB2312" w:cs="Times New Roman"/>
          <w:b w:val="0"/>
          <w:bCs/>
          <w:color w:val="000000" w:themeColor="text1"/>
          <w:sz w:val="32"/>
          <w:szCs w:val="32"/>
          <w:lang w:eastAsia="zh-CN"/>
          <w14:textFill>
            <w14:solidFill>
              <w14:schemeClr w14:val="tx1"/>
            </w14:solidFill>
          </w14:textFill>
        </w:rPr>
        <w:t>单位采取视频培训会授课，培训费减少</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w:t>
      </w:r>
    </w:p>
    <w:p>
      <w:pPr>
        <w:spacing w:line="600" w:lineRule="exact"/>
        <w:ind w:firstLine="642" w:firstLineChars="200"/>
        <w:rPr>
          <w:rStyle w:val="14"/>
          <w:rFonts w:hint="default" w:ascii="Times New Roman" w:hAnsi="Times New Roman" w:eastAsia="仿宋_GB2312" w:cs="Times New Roman"/>
          <w:b w:val="0"/>
          <w:bCs/>
          <w:color w:val="000000" w:themeColor="text1"/>
          <w:sz w:val="32"/>
          <w:szCs w:val="32"/>
          <w:lang w:eastAsia="zh-CN"/>
          <w14:textFill>
            <w14:solidFill>
              <w14:schemeClr w14:val="tx1"/>
            </w14:solidFill>
          </w14:textFill>
        </w:rPr>
      </w:pPr>
      <w:r>
        <w:rPr>
          <w:rStyle w:val="14"/>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4</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 xml:space="preserve">.社会保障和就业（类）行政事业单位养老支出（款）行政单位离退休（项）: </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支出决算为</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33.98</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万元，完成预算</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98.95</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w:t>
      </w:r>
      <w:r>
        <w:rPr>
          <w:rStyle w:val="14"/>
          <w:rFonts w:hint="default" w:ascii="Times New Roman" w:hAnsi="Times New Roman" w:eastAsia="仿宋_GB2312" w:cs="Times New Roman"/>
          <w:b w:val="0"/>
          <w:bCs/>
          <w:color w:val="000000" w:themeColor="text1"/>
          <w:sz w:val="32"/>
          <w:szCs w:val="32"/>
          <w:lang w:eastAsia="zh-CN"/>
          <w14:textFill>
            <w14:solidFill>
              <w14:schemeClr w14:val="tx1"/>
            </w14:solidFill>
          </w14:textFill>
        </w:rPr>
        <w:t>。</w:t>
      </w:r>
    </w:p>
    <w:p>
      <w:pPr>
        <w:spacing w:line="600" w:lineRule="exact"/>
        <w:ind w:firstLine="642" w:firstLineChars="200"/>
        <w:rPr>
          <w:rFonts w:hint="default" w:ascii="Times New Roman" w:hAnsi="Times New Roman" w:eastAsia="仿宋_GB2312" w:cs="Times New Roman"/>
          <w:sz w:val="32"/>
          <w:szCs w:val="32"/>
          <w:lang w:val="en-US" w:eastAsia="zh-CN"/>
        </w:rPr>
      </w:pPr>
      <w:r>
        <w:rPr>
          <w:rStyle w:val="14"/>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5</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 xml:space="preserve">.社会保障和就业（类）行政事业单位养老支出（款）机关事业单位基本养老保险缴费支出（项）: </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支出决算为</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50.87</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万元，完成预算9</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5.86</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w:t>
      </w:r>
    </w:p>
    <w:p>
      <w:pPr>
        <w:spacing w:line="600" w:lineRule="exact"/>
        <w:ind w:firstLine="642" w:firstLineChars="200"/>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pPr>
      <w:r>
        <w:rPr>
          <w:rStyle w:val="14"/>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6</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w:t>
      </w:r>
      <w:r>
        <w:rPr>
          <w:rFonts w:hint="default" w:ascii="Times New Roman" w:hAnsi="Times New Roman" w:eastAsia="仿宋_GB2312" w:cs="Times New Roman"/>
          <w:b/>
          <w:bCs/>
          <w:color w:val="000000" w:themeColor="text1"/>
          <w:sz w:val="32"/>
          <w:szCs w:val="32"/>
          <w14:textFill>
            <w14:solidFill>
              <w14:schemeClr w14:val="tx1"/>
            </w14:solidFill>
          </w14:textFill>
        </w:rPr>
        <w:t>卫生健康</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（类）行政事业单位医疗（款）行政单位医疗（项）:</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支出决算为</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39.54</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万元，完成预算</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100</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w:t>
      </w:r>
    </w:p>
    <w:p>
      <w:pPr>
        <w:spacing w:line="600" w:lineRule="exact"/>
        <w:ind w:firstLine="642" w:firstLineChars="200"/>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pPr>
      <w:r>
        <w:rPr>
          <w:rStyle w:val="14"/>
          <w:rFonts w:hint="default" w:ascii="Times New Roman" w:hAnsi="Times New Roman" w:eastAsia="仿宋_GB2312" w:cs="Times New Roman"/>
          <w:b/>
          <w:bCs w:val="0"/>
          <w:color w:val="000000" w:themeColor="text1"/>
          <w:sz w:val="32"/>
          <w:szCs w:val="32"/>
          <w:lang w:val="en-US" w:eastAsia="zh-CN"/>
          <w14:textFill>
            <w14:solidFill>
              <w14:schemeClr w14:val="tx1"/>
            </w14:solidFill>
          </w14:textFill>
        </w:rPr>
        <w:t>7.</w:t>
      </w:r>
      <w:r>
        <w:rPr>
          <w:rFonts w:hint="default" w:ascii="Times New Roman" w:hAnsi="Times New Roman" w:eastAsia="仿宋_GB2312" w:cs="Times New Roman"/>
          <w:b/>
          <w:bCs w:val="0"/>
          <w:color w:val="000000" w:themeColor="text1"/>
          <w:sz w:val="32"/>
          <w:szCs w:val="32"/>
          <w14:textFill>
            <w14:solidFill>
              <w14:schemeClr w14:val="tx1"/>
            </w14:solidFill>
          </w14:textFill>
        </w:rPr>
        <w:t>卫生</w:t>
      </w:r>
      <w:r>
        <w:rPr>
          <w:rFonts w:hint="default" w:ascii="Times New Roman" w:hAnsi="Times New Roman" w:eastAsia="仿宋_GB2312" w:cs="Times New Roman"/>
          <w:b/>
          <w:bCs/>
          <w:color w:val="000000" w:themeColor="text1"/>
          <w:sz w:val="32"/>
          <w:szCs w:val="32"/>
          <w14:textFill>
            <w14:solidFill>
              <w14:schemeClr w14:val="tx1"/>
            </w14:solidFill>
          </w14:textFill>
        </w:rPr>
        <w:t>健康</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（类）行政事业单位医疗（款）公务员医疗补助（项）:</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支出决算为</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6.81</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万元，完成预算</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100</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w:t>
      </w:r>
    </w:p>
    <w:p>
      <w:pPr>
        <w:spacing w:line="600" w:lineRule="exact"/>
        <w:ind w:firstLine="642" w:firstLineChars="200"/>
        <w:rPr>
          <w:rFonts w:hint="default" w:ascii="Times New Roman" w:hAnsi="Times New Roman" w:eastAsia="仿宋_GB2312" w:cs="Times New Roman"/>
          <w:sz w:val="32"/>
          <w:szCs w:val="32"/>
        </w:rPr>
      </w:pPr>
      <w:r>
        <w:rPr>
          <w:rStyle w:val="14"/>
          <w:rFonts w:hint="default" w:ascii="Times New Roman" w:hAnsi="Times New Roman" w:eastAsia="仿宋_GB2312" w:cs="Times New Roman"/>
          <w:b/>
          <w:bCs w:val="0"/>
          <w:color w:val="000000" w:themeColor="text1"/>
          <w:sz w:val="32"/>
          <w:szCs w:val="32"/>
          <w:lang w:val="en-US" w:eastAsia="zh-CN"/>
          <w14:textFill>
            <w14:solidFill>
              <w14:schemeClr w14:val="tx1"/>
            </w14:solidFill>
          </w14:textFill>
        </w:rPr>
        <w:t>8.</w:t>
      </w:r>
      <w:r>
        <w:rPr>
          <w:rFonts w:hint="default" w:ascii="Times New Roman" w:hAnsi="Times New Roman" w:eastAsia="仿宋_GB2312" w:cs="Times New Roman"/>
          <w:b/>
          <w:bCs w:val="0"/>
          <w:color w:val="000000" w:themeColor="text1"/>
          <w:sz w:val="32"/>
          <w:szCs w:val="32"/>
          <w14:textFill>
            <w14:solidFill>
              <w14:schemeClr w14:val="tx1"/>
            </w14:solidFill>
          </w14:textFill>
        </w:rPr>
        <w:t>卫</w:t>
      </w:r>
      <w:r>
        <w:rPr>
          <w:rFonts w:hint="default" w:ascii="Times New Roman" w:hAnsi="Times New Roman" w:eastAsia="仿宋_GB2312" w:cs="Times New Roman"/>
          <w:b/>
          <w:bCs/>
          <w:color w:val="000000" w:themeColor="text1"/>
          <w:sz w:val="32"/>
          <w:szCs w:val="32"/>
          <w14:textFill>
            <w14:solidFill>
              <w14:schemeClr w14:val="tx1"/>
            </w14:solidFill>
          </w14:textFill>
        </w:rPr>
        <w:t>生健康</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（类）行政事业单位医疗（款）</w:t>
      </w:r>
      <w:r>
        <w:rPr>
          <w:rStyle w:val="14"/>
          <w:rFonts w:hint="default" w:ascii="Times New Roman" w:hAnsi="Times New Roman" w:eastAsia="仿宋_GB2312" w:cs="Times New Roman"/>
          <w:bCs/>
          <w:color w:val="000000" w:themeColor="text1"/>
          <w:sz w:val="32"/>
          <w:szCs w:val="32"/>
          <w:lang w:eastAsia="zh-CN"/>
          <w14:textFill>
            <w14:solidFill>
              <w14:schemeClr w14:val="tx1"/>
            </w14:solidFill>
          </w14:textFill>
        </w:rPr>
        <w:t>其他行政事业单位医疗支出</w:t>
      </w:r>
      <w:r>
        <w:rPr>
          <w:rStyle w:val="14"/>
          <w:rFonts w:hint="default" w:ascii="Times New Roman" w:hAnsi="Times New Roman" w:eastAsia="仿宋_GB2312" w:cs="Times New Roman"/>
          <w:bCs/>
          <w:color w:val="000000" w:themeColor="text1"/>
          <w:sz w:val="32"/>
          <w:szCs w:val="32"/>
          <w14:textFill>
            <w14:solidFill>
              <w14:schemeClr w14:val="tx1"/>
            </w14:solidFill>
          </w14:textFill>
        </w:rPr>
        <w:t>（项）:</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支出决算为</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0.77</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万元，完成预算</w:t>
      </w:r>
      <w:r>
        <w:rPr>
          <w:rStyle w:val="14"/>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100</w:t>
      </w:r>
      <w:r>
        <w:rPr>
          <w:rStyle w:val="14"/>
          <w:rFonts w:hint="default" w:ascii="Times New Roman" w:hAnsi="Times New Roman" w:eastAsia="仿宋_GB2312" w:cs="Times New Roman"/>
          <w:b w:val="0"/>
          <w:bCs/>
          <w:color w:val="000000" w:themeColor="text1"/>
          <w:sz w:val="32"/>
          <w:szCs w:val="32"/>
          <w14:textFill>
            <w14:solidFill>
              <w14:schemeClr w14:val="tx1"/>
            </w14:solidFill>
          </w14:textFill>
        </w:rPr>
        <w:t>%。</w:t>
      </w:r>
    </w:p>
    <w:p>
      <w:pPr>
        <w:spacing w:line="600" w:lineRule="exact"/>
        <w:ind w:firstLine="642" w:firstLineChars="200"/>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9</w:t>
      </w:r>
      <w:r>
        <w:rPr>
          <w:rFonts w:hint="default" w:ascii="Times New Roman" w:hAnsi="Times New Roman" w:eastAsia="仿宋_GB2312" w:cs="Times New Roman"/>
          <w:b/>
          <w:bCs/>
          <w:color w:val="000000" w:themeColor="text1"/>
          <w:sz w:val="32"/>
          <w:szCs w:val="32"/>
          <w14:textFill>
            <w14:solidFill>
              <w14:schemeClr w14:val="tx1"/>
            </w14:solidFill>
          </w14:textFill>
        </w:rPr>
        <w:t>.住房保障支出（类）住房改革支出（款）住房公积金（项）</w:t>
      </w:r>
      <w:r>
        <w:rPr>
          <w:rFonts w:hint="default" w:ascii="Times New Roman" w:hAnsi="Times New Roman" w:eastAsia="仿宋_GB2312" w:cs="Times New Roman"/>
          <w:bCs/>
          <w:color w:val="000000" w:themeColor="text1"/>
          <w:sz w:val="32"/>
          <w:szCs w:val="32"/>
          <w14:textFill>
            <w14:solidFill>
              <w14:schemeClr w14:val="tx1"/>
            </w14:solidFill>
          </w14:textFill>
        </w:rPr>
        <w:t>:支出决算为</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47.41</w:t>
      </w:r>
      <w:r>
        <w:rPr>
          <w:rFonts w:hint="default" w:ascii="Times New Roman" w:hAnsi="Times New Roman" w:eastAsia="仿宋_GB2312" w:cs="Times New Roman"/>
          <w:bCs/>
          <w:color w:val="000000" w:themeColor="text1"/>
          <w:sz w:val="32"/>
          <w:szCs w:val="32"/>
          <w14:textFill>
            <w14:solidFill>
              <w14:schemeClr w14:val="tx1"/>
            </w14:solidFill>
          </w14:textFill>
        </w:rPr>
        <w:t>万元，完成预算</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99.33</w:t>
      </w:r>
      <w:r>
        <w:rPr>
          <w:rFonts w:hint="default" w:ascii="Times New Roman" w:hAnsi="Times New Roman" w:eastAsia="仿宋_GB2312" w:cs="Times New Roman"/>
          <w:bCs/>
          <w:color w:val="000000" w:themeColor="text1"/>
          <w:sz w:val="32"/>
          <w:szCs w:val="32"/>
          <w14:textFill>
            <w14:solidFill>
              <w14:schemeClr w14:val="tx1"/>
            </w14:solidFill>
          </w14:textFill>
        </w:rPr>
        <w:t>%</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p>
    <w:p>
      <w:pPr>
        <w:spacing w:line="600" w:lineRule="exact"/>
        <w:ind w:firstLine="642"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10</w:t>
      </w:r>
      <w:r>
        <w:rPr>
          <w:rFonts w:hint="default" w:ascii="Times New Roman" w:hAnsi="Times New Roman" w:eastAsia="仿宋_GB2312" w:cs="Times New Roman"/>
          <w:b/>
          <w:bCs/>
          <w:color w:val="000000" w:themeColor="text1"/>
          <w:sz w:val="32"/>
          <w:szCs w:val="32"/>
          <w14:textFill>
            <w14:solidFill>
              <w14:schemeClr w14:val="tx1"/>
            </w14:solidFill>
          </w14:textFill>
        </w:rPr>
        <w:t>.住房保障支出（类）住房改革支出（款）购房补贴（项）:</w:t>
      </w:r>
      <w:r>
        <w:rPr>
          <w:rFonts w:hint="default" w:ascii="Times New Roman" w:hAnsi="Times New Roman" w:eastAsia="仿宋_GB2312" w:cs="Times New Roman"/>
          <w:bCs/>
          <w:color w:val="000000" w:themeColor="text1"/>
          <w:sz w:val="32"/>
          <w:szCs w:val="32"/>
          <w14:textFill>
            <w14:solidFill>
              <w14:schemeClr w14:val="tx1"/>
            </w14:solidFill>
          </w14:textFill>
        </w:rPr>
        <w:t>支出决算为</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49.17</w:t>
      </w:r>
      <w:r>
        <w:rPr>
          <w:rFonts w:hint="default" w:ascii="Times New Roman" w:hAnsi="Times New Roman" w:eastAsia="仿宋_GB2312" w:cs="Times New Roman"/>
          <w:bCs/>
          <w:color w:val="000000" w:themeColor="text1"/>
          <w:sz w:val="32"/>
          <w:szCs w:val="32"/>
          <w14:textFill>
            <w14:solidFill>
              <w14:schemeClr w14:val="tx1"/>
            </w14:solidFill>
          </w14:textFill>
        </w:rPr>
        <w:t>万元，完成预算</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100</w:t>
      </w:r>
      <w:r>
        <w:rPr>
          <w:rFonts w:hint="default" w:ascii="Times New Roman" w:hAnsi="Times New Roman" w:eastAsia="仿宋_GB2312" w:cs="Times New Roman"/>
          <w:bCs/>
          <w:color w:val="000000" w:themeColor="text1"/>
          <w:sz w:val="32"/>
          <w:szCs w:val="32"/>
          <w14:textFill>
            <w14:solidFill>
              <w14:schemeClr w14:val="tx1"/>
            </w14:solidFill>
          </w14:textFill>
        </w:rPr>
        <w:t>%。</w:t>
      </w:r>
    </w:p>
    <w:p>
      <w:pPr>
        <w:pStyle w:val="2"/>
        <w:rPr>
          <w:rFonts w:hint="default" w:ascii="Times New Roman" w:hAnsi="Times New Roman" w:eastAsia="仿宋_GB2312" w:cs="Times New Roman"/>
          <w:sz w:val="32"/>
          <w:szCs w:val="32"/>
        </w:rPr>
      </w:pPr>
    </w:p>
    <w:p>
      <w:pPr>
        <w:tabs>
          <w:tab w:val="right" w:pos="8306"/>
        </w:tabs>
        <w:spacing w:line="600" w:lineRule="exact"/>
        <w:ind w:firstLine="640"/>
        <w:outlineLvl w:val="1"/>
        <w:rPr>
          <w:rStyle w:val="25"/>
          <w:rFonts w:hint="default" w:ascii="Times New Roman" w:hAnsi="Times New Roman" w:cs="Times New Roman"/>
          <w:color w:val="auto"/>
          <w:highlight w:val="none"/>
        </w:rPr>
      </w:pPr>
      <w:bookmarkStart w:id="34" w:name="_Toc15377214"/>
      <w:bookmarkStart w:id="35" w:name="_Toc15396608"/>
      <w:r>
        <w:rPr>
          <w:rFonts w:hint="default" w:ascii="Times New Roman" w:hAnsi="Times New Roman" w:eastAsia="黑体" w:cs="Times New Roman"/>
          <w:color w:val="auto"/>
          <w:sz w:val="32"/>
          <w:szCs w:val="32"/>
          <w:highlight w:val="none"/>
        </w:rPr>
        <w:t>六</w:t>
      </w:r>
      <w:r>
        <w:rPr>
          <w:rFonts w:hint="default" w:ascii="Times New Roman" w:hAnsi="Times New Roman" w:eastAsia="黑体" w:cs="Times New Roman"/>
          <w:b/>
          <w:color w:val="auto"/>
          <w:sz w:val="32"/>
          <w:szCs w:val="32"/>
          <w:highlight w:val="none"/>
        </w:rPr>
        <w:t>、一</w:t>
      </w:r>
      <w:r>
        <w:rPr>
          <w:rStyle w:val="25"/>
          <w:rFonts w:hint="default" w:ascii="Times New Roman" w:hAnsi="Times New Roman" w:eastAsia="黑体" w:cs="Times New Roman"/>
          <w:b w:val="0"/>
          <w:color w:val="auto"/>
          <w:highlight w:val="none"/>
        </w:rPr>
        <w:t>般公共预算财政拨款基本支出决算情况说明</w:t>
      </w:r>
      <w:bookmarkEnd w:id="34"/>
      <w:bookmarkEnd w:id="35"/>
      <w:r>
        <w:rPr>
          <w:rStyle w:val="25"/>
          <w:rFonts w:hint="default" w:ascii="Times New Roman" w:hAnsi="Times New Roman" w:eastAsia="黑体" w:cs="Times New Roman"/>
          <w:b w:val="0"/>
          <w:color w:val="auto"/>
          <w:highlight w:val="none"/>
        </w:rPr>
        <w:tab/>
      </w:r>
    </w:p>
    <w:p>
      <w:pPr>
        <w:spacing w:line="600" w:lineRule="exact"/>
        <w:ind w:firstLine="645"/>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年一般公共预算财政拨款基本支出</w:t>
      </w:r>
      <w:r>
        <w:rPr>
          <w:rFonts w:hint="default" w:ascii="Times New Roman" w:hAnsi="Times New Roman" w:eastAsia="仿宋_GB2312" w:cs="Times New Roman"/>
          <w:color w:val="auto"/>
          <w:sz w:val="32"/>
          <w:szCs w:val="32"/>
          <w:highlight w:val="none"/>
          <w:lang w:val="en-US" w:eastAsia="zh-CN"/>
        </w:rPr>
        <w:t>717.98</w:t>
      </w:r>
      <w:r>
        <w:rPr>
          <w:rFonts w:hint="default" w:ascii="Times New Roman" w:hAnsi="Times New Roman" w:eastAsia="仿宋_GB2312" w:cs="Times New Roman"/>
          <w:color w:val="auto"/>
          <w:sz w:val="32"/>
          <w:szCs w:val="32"/>
          <w:highlight w:val="none"/>
        </w:rPr>
        <w:t>万元，其中：</w:t>
      </w:r>
    </w:p>
    <w:p>
      <w:pPr>
        <w:spacing w:line="600" w:lineRule="exact"/>
        <w:ind w:firstLine="645"/>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人员经费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617.47</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万元，主要包括：基本工资、津贴补贴、奖金、机关事业单位基本养老保险缴费、</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职工基本医疗保险缴费、公务员医疗补助缴费、其他社会保障缴费、</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其他工资福利支出、住房公积金、其他对个人和家庭的补助支出等。</w:t>
      </w:r>
      <w:r>
        <w:rPr>
          <w:rFonts w:hint="default" w:ascii="Times New Roman" w:hAnsi="Times New Roman" w:eastAsia="仿宋_GB2312" w:cs="Times New Roman"/>
          <w:color w:val="000000" w:themeColor="text1"/>
          <w:sz w:val="32"/>
          <w:szCs w:val="32"/>
          <w:highlight w:val="none"/>
          <w14:textFill>
            <w14:solidFill>
              <w14:schemeClr w14:val="tx1"/>
            </w14:solidFill>
          </w14:textFill>
        </w:rPr>
        <w:br w:type="textWrapping"/>
      </w:r>
      <w:r>
        <w:rPr>
          <w:rFonts w:hint="default" w:ascii="Times New Roman" w:hAnsi="Times New Roman" w:eastAsia="仿宋_GB2312" w:cs="Times New Roman"/>
          <w:color w:val="000000" w:themeColor="text1"/>
          <w:sz w:val="32"/>
          <w:szCs w:val="32"/>
          <w:highlight w:val="none"/>
          <w14:textFill>
            <w14:solidFill>
              <w14:schemeClr w14:val="tx1"/>
            </w14:solidFill>
          </w14:textFill>
        </w:rPr>
        <w:t>　　公用经费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100.52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万元，主要包括：办公费、水费、电费、邮电费、差旅费、维修（护）费、培训费、公务接待费、工会经费、福利费、公务用车运行维护费、其他交通费、其他商品和服务支出等。</w:t>
      </w:r>
    </w:p>
    <w:p>
      <w:pPr>
        <w:spacing w:line="600" w:lineRule="exact"/>
        <w:ind w:firstLine="640"/>
        <w:rPr>
          <w:rFonts w:hint="default" w:ascii="Times New Roman" w:hAnsi="Times New Roman" w:eastAsia="仿宋_GB2312" w:cs="Times New Roman"/>
          <w:b/>
          <w:color w:val="auto"/>
          <w:sz w:val="32"/>
          <w:szCs w:val="32"/>
          <w:highlight w:val="none"/>
        </w:rPr>
      </w:pPr>
    </w:p>
    <w:p>
      <w:pPr>
        <w:spacing w:line="600" w:lineRule="exact"/>
        <w:ind w:firstLine="640"/>
        <w:outlineLvl w:val="1"/>
        <w:rPr>
          <w:rStyle w:val="25"/>
          <w:rFonts w:hint="default" w:ascii="Times New Roman" w:hAnsi="Times New Roman" w:eastAsia="黑体" w:cs="Times New Roman"/>
          <w:b w:val="0"/>
          <w:color w:val="auto"/>
          <w:highlight w:val="none"/>
        </w:rPr>
      </w:pPr>
      <w:bookmarkStart w:id="36" w:name="_Toc15396609"/>
      <w:bookmarkStart w:id="37" w:name="_Toc15377215"/>
      <w:r>
        <w:rPr>
          <w:rFonts w:hint="default" w:ascii="Times New Roman" w:hAnsi="Times New Roman" w:eastAsia="黑体" w:cs="Times New Roman"/>
          <w:color w:val="auto"/>
          <w:sz w:val="32"/>
          <w:szCs w:val="32"/>
          <w:highlight w:val="none"/>
        </w:rPr>
        <w:t>七、</w:t>
      </w:r>
      <w:r>
        <w:rPr>
          <w:rStyle w:val="25"/>
          <w:rFonts w:hint="default" w:ascii="Times New Roman" w:hAnsi="Times New Roman" w:eastAsia="黑体" w:cs="Times New Roman"/>
          <w:b w:val="0"/>
          <w:color w:val="auto"/>
          <w:highlight w:val="none"/>
        </w:rPr>
        <w:t>财政拨款</w:t>
      </w:r>
      <w:r>
        <w:rPr>
          <w:rStyle w:val="25"/>
          <w:rFonts w:hint="default" w:ascii="Times New Roman" w:hAnsi="Times New Roman" w:eastAsia="黑体" w:cs="Times New Roman"/>
          <w:color w:val="auto"/>
          <w:highlight w:val="none"/>
        </w:rPr>
        <w:t>“</w:t>
      </w:r>
      <w:r>
        <w:rPr>
          <w:rStyle w:val="25"/>
          <w:rFonts w:hint="default" w:ascii="Times New Roman" w:hAnsi="Times New Roman" w:eastAsia="黑体" w:cs="Times New Roman"/>
          <w:b w:val="0"/>
          <w:color w:val="auto"/>
          <w:highlight w:val="none"/>
        </w:rPr>
        <w:t>三公”经费支出决算情况说明</w:t>
      </w:r>
      <w:bookmarkEnd w:id="36"/>
      <w:bookmarkEnd w:id="37"/>
    </w:p>
    <w:p>
      <w:pPr>
        <w:spacing w:line="600" w:lineRule="exact"/>
        <w:ind w:firstLine="640"/>
        <w:outlineLvl w:val="2"/>
        <w:rPr>
          <w:rFonts w:hint="default" w:ascii="Times New Roman" w:hAnsi="Times New Roman" w:eastAsia="仿宋_GB2312" w:cs="Times New Roman"/>
          <w:b/>
          <w:color w:val="auto"/>
          <w:sz w:val="32"/>
          <w:szCs w:val="32"/>
          <w:highlight w:val="none"/>
        </w:rPr>
      </w:pPr>
      <w:bookmarkStart w:id="38" w:name="_Toc15377216"/>
      <w:r>
        <w:rPr>
          <w:rFonts w:hint="default" w:ascii="Times New Roman" w:hAnsi="Times New Roman" w:eastAsia="仿宋_GB2312" w:cs="Times New Roman"/>
          <w:b/>
          <w:color w:val="auto"/>
          <w:sz w:val="32"/>
          <w:szCs w:val="32"/>
          <w:highlight w:val="none"/>
        </w:rPr>
        <w:t>（一）“三公”经费财政拨款支出决算总体情况说明</w:t>
      </w:r>
      <w:bookmarkEnd w:id="38"/>
    </w:p>
    <w:p>
      <w:pPr>
        <w:keepNext w:val="0"/>
        <w:keepLines w:val="0"/>
        <w:widowControl/>
        <w:suppressLineNumbers w:val="0"/>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年“三公”经费财政拨款支出决算为</w:t>
      </w:r>
      <w:r>
        <w:rPr>
          <w:rFonts w:hint="default" w:ascii="Times New Roman" w:hAnsi="Times New Roman" w:eastAsia="仿宋_GB2312" w:cs="Times New Roman"/>
          <w:color w:val="auto"/>
          <w:sz w:val="32"/>
          <w:szCs w:val="32"/>
          <w:highlight w:val="none"/>
          <w:lang w:val="en-US" w:eastAsia="zh-CN"/>
        </w:rPr>
        <w:t>3.44</w:t>
      </w:r>
      <w:r>
        <w:rPr>
          <w:rFonts w:hint="default" w:ascii="Times New Roman" w:hAnsi="Times New Roman" w:eastAsia="仿宋_GB2312" w:cs="Times New Roman"/>
          <w:color w:val="auto"/>
          <w:sz w:val="32"/>
          <w:szCs w:val="32"/>
          <w:highlight w:val="none"/>
        </w:rPr>
        <w:t>万元，完成预算</w:t>
      </w:r>
      <w:r>
        <w:rPr>
          <w:rFonts w:hint="default" w:ascii="Times New Roman" w:hAnsi="Times New Roman" w:eastAsia="仿宋_GB2312" w:cs="Times New Roman"/>
          <w:color w:val="auto"/>
          <w:sz w:val="32"/>
          <w:szCs w:val="32"/>
          <w:highlight w:val="none"/>
          <w:lang w:val="en-US" w:eastAsia="zh-CN"/>
        </w:rPr>
        <w:t>68.80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较上年</w:t>
      </w:r>
      <w:r>
        <w:rPr>
          <w:rFonts w:hint="default" w:ascii="Times New Roman" w:hAnsi="Times New Roman" w:eastAsia="仿宋_GB2312" w:cs="Times New Roman"/>
          <w:color w:val="auto"/>
          <w:sz w:val="32"/>
          <w:szCs w:val="32"/>
          <w:highlight w:val="none"/>
          <w:lang w:val="en-US" w:eastAsia="zh-CN"/>
        </w:rPr>
        <w:t>增加1.22万元，增长54.95%。</w:t>
      </w:r>
      <w:r>
        <w:rPr>
          <w:rFonts w:hint="default" w:ascii="Times New Roman" w:hAnsi="Times New Roman" w:eastAsia="仿宋_GB2312" w:cs="Times New Roman"/>
          <w:color w:val="auto"/>
          <w:sz w:val="32"/>
          <w:szCs w:val="32"/>
          <w:highlight w:val="none"/>
          <w:lang w:eastAsia="zh-CN"/>
        </w:rPr>
        <w:t>增加的</w:t>
      </w:r>
      <w:r>
        <w:rPr>
          <w:rFonts w:hint="default" w:ascii="Times New Roman" w:hAnsi="Times New Roman" w:eastAsia="仿宋_GB2312" w:cs="Times New Roman"/>
          <w:color w:val="auto"/>
          <w:sz w:val="32"/>
          <w:szCs w:val="32"/>
          <w:highlight w:val="none"/>
        </w:rPr>
        <w:t>主要原因</w:t>
      </w:r>
      <w:r>
        <w:rPr>
          <w:rFonts w:hint="default" w:ascii="Times New Roman" w:hAnsi="Times New Roman" w:eastAsia="仿宋_GB2312" w:cs="Times New Roman"/>
          <w:i w:val="0"/>
          <w:caps w:val="0"/>
          <w:color w:val="000000"/>
          <w:spacing w:val="0"/>
          <w:kern w:val="0"/>
          <w:sz w:val="32"/>
          <w:szCs w:val="32"/>
          <w:shd w:val="clear" w:fill="FFFFFF"/>
          <w:lang w:val="en-US" w:eastAsia="zh-CN" w:bidi="ar"/>
        </w:rPr>
        <w:t>一是单位经济普查接待任务多，费用增加。二是单位出差调研增加，公务用车运行维护费增加。</w:t>
      </w:r>
    </w:p>
    <w:p>
      <w:pPr>
        <w:spacing w:line="600" w:lineRule="exact"/>
        <w:ind w:firstLine="640"/>
        <w:outlineLvl w:val="2"/>
        <w:rPr>
          <w:rFonts w:hint="default" w:ascii="Times New Roman" w:hAnsi="Times New Roman" w:eastAsia="仿宋_GB2312" w:cs="Times New Roman"/>
          <w:b/>
          <w:color w:val="auto"/>
          <w:sz w:val="32"/>
          <w:szCs w:val="32"/>
          <w:highlight w:val="none"/>
        </w:rPr>
      </w:pPr>
      <w:bookmarkStart w:id="39" w:name="_Toc15377217"/>
      <w:r>
        <w:rPr>
          <w:rFonts w:hint="default" w:ascii="Times New Roman" w:hAnsi="Times New Roman" w:eastAsia="仿宋_GB2312" w:cs="Times New Roman"/>
          <w:b/>
          <w:color w:val="auto"/>
          <w:sz w:val="32"/>
          <w:szCs w:val="32"/>
          <w:highlight w:val="none"/>
        </w:rPr>
        <w:t>（二）“三公”经费财政拨款支出决算具体情况说明</w:t>
      </w:r>
      <w:bookmarkEnd w:id="39"/>
    </w:p>
    <w:p>
      <w:pPr>
        <w:spacing w:line="60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年“三公”经费财政拨款支出决算中，因公出国（境）费支出决算</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万元；公务用车购置及运行维护费支出决算</w:t>
      </w:r>
      <w:r>
        <w:rPr>
          <w:rFonts w:hint="default" w:ascii="Times New Roman" w:hAnsi="Times New Roman" w:eastAsia="仿宋_GB2312" w:cs="Times New Roman"/>
          <w:color w:val="auto"/>
          <w:sz w:val="32"/>
          <w:szCs w:val="32"/>
          <w:highlight w:val="none"/>
          <w:lang w:val="en-US" w:eastAsia="zh-CN"/>
        </w:rPr>
        <w:t>3.26</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94.77</w:t>
      </w:r>
      <w:r>
        <w:rPr>
          <w:rFonts w:hint="default" w:ascii="Times New Roman" w:hAnsi="Times New Roman" w:eastAsia="仿宋_GB2312" w:cs="Times New Roman"/>
          <w:color w:val="auto"/>
          <w:sz w:val="32"/>
          <w:szCs w:val="32"/>
          <w:highlight w:val="none"/>
        </w:rPr>
        <w:t>%；公务接待费支出决算</w:t>
      </w:r>
      <w:r>
        <w:rPr>
          <w:rFonts w:hint="default" w:ascii="Times New Roman" w:hAnsi="Times New Roman" w:eastAsia="仿宋_GB2312" w:cs="Times New Roman"/>
          <w:color w:val="auto"/>
          <w:sz w:val="32"/>
          <w:szCs w:val="32"/>
          <w:highlight w:val="none"/>
          <w:lang w:val="en-US" w:eastAsia="zh-CN"/>
        </w:rPr>
        <w:t>0.17</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5.23</w:t>
      </w:r>
      <w:r>
        <w:rPr>
          <w:rFonts w:hint="default" w:ascii="Times New Roman" w:hAnsi="Times New Roman" w:eastAsia="仿宋_GB2312" w:cs="Times New Roman"/>
          <w:color w:val="auto"/>
          <w:sz w:val="32"/>
          <w:szCs w:val="32"/>
          <w:highlight w:val="none"/>
        </w:rPr>
        <w:t>%。具体情况如下：</w:t>
      </w:r>
    </w:p>
    <w:p>
      <w:pPr>
        <w:spacing w:line="600" w:lineRule="exact"/>
        <w:ind w:firstLine="1292" w:firstLineChars="404"/>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（图7：“三公”经费财政拨款支出结构）</w:t>
      </w:r>
    </w:p>
    <w:p>
      <w:pPr>
        <w:pStyle w:val="2"/>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drawing>
          <wp:inline distT="0" distB="0" distL="114300" distR="114300">
            <wp:extent cx="5305425" cy="2145030"/>
            <wp:effectExtent l="4445" t="4445" r="5080" b="2222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1.因公出国（境）经费支出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000000" w:themeColor="text1"/>
          <w:sz w:val="32"/>
          <w:szCs w:val="32"/>
          <w14:textFill>
            <w14:solidFill>
              <w14:schemeClr w14:val="tx1"/>
            </w14:solidFill>
          </w14:textFill>
        </w:rPr>
        <w:t>因公出国（境）支出决算与</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2022</w:t>
      </w:r>
      <w:r>
        <w:rPr>
          <w:rFonts w:hint="default" w:ascii="Times New Roman" w:hAnsi="Times New Roman" w:eastAsia="仿宋_GB2312" w:cs="Times New Roman"/>
          <w:color w:val="000000" w:themeColor="text1"/>
          <w:sz w:val="32"/>
          <w:szCs w:val="32"/>
          <w14:textFill>
            <w14:solidFill>
              <w14:schemeClr w14:val="tx1"/>
            </w14:solidFill>
          </w14:textFill>
        </w:rPr>
        <w:t>年持平</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，主要原因是单位未安排职工因公出国（境）活动</w:t>
      </w:r>
      <w:r>
        <w:rPr>
          <w:rFonts w:hint="default" w:ascii="Times New Roman" w:hAnsi="Times New Roman" w:eastAsia="仿宋_GB2312" w:cs="Times New Roman"/>
          <w:color w:val="auto"/>
          <w:sz w:val="32"/>
          <w:szCs w:val="32"/>
          <w:highlight w:val="none"/>
        </w:rPr>
        <w:t>。</w:t>
      </w:r>
    </w:p>
    <w:p>
      <w:pPr>
        <w:spacing w:line="600" w:lineRule="exact"/>
        <w:ind w:firstLine="640"/>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2.公务用车购置及运行维护费支出</w:t>
      </w:r>
      <w:r>
        <w:rPr>
          <w:rFonts w:hint="default" w:ascii="Times New Roman" w:hAnsi="Times New Roman" w:eastAsia="仿宋_GB2312" w:cs="Times New Roman"/>
          <w:color w:val="auto"/>
          <w:sz w:val="32"/>
          <w:szCs w:val="32"/>
          <w:highlight w:val="none"/>
          <w:lang w:val="en-US" w:eastAsia="zh-CN"/>
        </w:rPr>
        <w:t>3.26</w:t>
      </w:r>
      <w:r>
        <w:rPr>
          <w:rFonts w:hint="default" w:ascii="Times New Roman" w:hAnsi="Times New Roman" w:eastAsia="仿宋_GB2312" w:cs="Times New Roman"/>
          <w:color w:val="auto"/>
          <w:sz w:val="32"/>
          <w:szCs w:val="32"/>
          <w:highlight w:val="none"/>
        </w:rPr>
        <w:t>万元,</w:t>
      </w:r>
      <w:r>
        <w:rPr>
          <w:rStyle w:val="14"/>
          <w:rFonts w:hint="default" w:ascii="Times New Roman" w:hAnsi="Times New Roman" w:eastAsia="仿宋_GB2312" w:cs="Times New Roman"/>
          <w:b w:val="0"/>
          <w:bCs/>
          <w:color w:val="auto"/>
          <w:sz w:val="32"/>
          <w:szCs w:val="32"/>
          <w:highlight w:val="none"/>
        </w:rPr>
        <w:t>完成预算</w:t>
      </w:r>
      <w:r>
        <w:rPr>
          <w:rStyle w:val="14"/>
          <w:rFonts w:hint="default" w:ascii="Times New Roman" w:hAnsi="Times New Roman" w:eastAsia="仿宋_GB2312" w:cs="Times New Roman"/>
          <w:b w:val="0"/>
          <w:bCs/>
          <w:color w:val="auto"/>
          <w:sz w:val="32"/>
          <w:szCs w:val="32"/>
          <w:highlight w:val="none"/>
          <w:lang w:val="en-US" w:eastAsia="zh-CN"/>
        </w:rPr>
        <w:t>81.50</w:t>
      </w:r>
      <w:r>
        <w:rPr>
          <w:rStyle w:val="14"/>
          <w:rFonts w:hint="default" w:ascii="Times New Roman" w:hAnsi="Times New Roman" w:eastAsia="仿宋_GB2312" w:cs="Times New Roman"/>
          <w:b w:val="0"/>
          <w:bCs/>
          <w:color w:val="auto"/>
          <w:sz w:val="32"/>
          <w:szCs w:val="32"/>
          <w:highlight w:val="none"/>
        </w:rPr>
        <w:t>%。</w:t>
      </w:r>
      <w:r>
        <w:rPr>
          <w:rFonts w:hint="default" w:ascii="Times New Roman" w:hAnsi="Times New Roman" w:eastAsia="仿宋_GB2312" w:cs="Times New Roman"/>
          <w:color w:val="auto"/>
          <w:sz w:val="32"/>
          <w:szCs w:val="32"/>
          <w:highlight w:val="none"/>
        </w:rPr>
        <w:t>公务用车购置及运行维护费支出决算比</w:t>
      </w:r>
      <w:r>
        <w:rPr>
          <w:rFonts w:hint="default" w:ascii="Times New Roman" w:hAnsi="Times New Roman" w:eastAsia="仿宋_GB2312" w:cs="Times New Roman"/>
          <w:color w:val="auto"/>
          <w:sz w:val="32"/>
          <w:szCs w:val="32"/>
          <w:highlight w:val="none"/>
          <w:lang w:eastAsia="zh-CN"/>
        </w:rPr>
        <w:t>2022</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eastAsia="zh-CN"/>
        </w:rPr>
        <w:t>增加</w:t>
      </w:r>
      <w:r>
        <w:rPr>
          <w:rFonts w:hint="default" w:ascii="Times New Roman" w:hAnsi="Times New Roman" w:eastAsia="仿宋_GB2312" w:cs="Times New Roman"/>
          <w:color w:val="auto"/>
          <w:sz w:val="32"/>
          <w:szCs w:val="32"/>
          <w:highlight w:val="none"/>
          <w:lang w:val="en-US" w:eastAsia="zh-CN"/>
        </w:rPr>
        <w:t>1.16</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增长</w:t>
      </w:r>
      <w:r>
        <w:rPr>
          <w:rFonts w:hint="default" w:ascii="Times New Roman" w:hAnsi="Times New Roman" w:eastAsia="仿宋_GB2312" w:cs="Times New Roman"/>
          <w:color w:val="auto"/>
          <w:sz w:val="32"/>
          <w:szCs w:val="32"/>
          <w:highlight w:val="none"/>
          <w:lang w:val="en-US" w:eastAsia="zh-CN"/>
        </w:rPr>
        <w:t>55.24</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i w:val="0"/>
          <w:caps w:val="0"/>
          <w:color w:val="000000"/>
          <w:spacing w:val="0"/>
          <w:kern w:val="0"/>
          <w:sz w:val="32"/>
          <w:szCs w:val="32"/>
          <w:shd w:val="clear" w:fill="FFFFFF"/>
          <w:lang w:val="en-US" w:eastAsia="zh-CN" w:bidi="ar"/>
        </w:rPr>
        <w:t>单位职工出差调研增加，公务用车运行维护费支出增加</w:t>
      </w:r>
      <w:r>
        <w:rPr>
          <w:rFonts w:hint="default" w:ascii="Times New Roman" w:hAnsi="Times New Roman" w:eastAsia="仿宋_GB2312" w:cs="Times New Roman"/>
          <w:color w:val="auto"/>
          <w:sz w:val="32"/>
          <w:szCs w:val="32"/>
          <w:highlight w:val="none"/>
        </w:rPr>
        <w:t>。</w:t>
      </w:r>
    </w:p>
    <w:p>
      <w:pPr>
        <w:spacing w:line="600" w:lineRule="exact"/>
        <w:ind w:firstLine="640" w:firstLineChars="200"/>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rPr>
        <w:t>其中：</w:t>
      </w:r>
      <w:r>
        <w:rPr>
          <w:rFonts w:hint="default" w:ascii="Times New Roman" w:hAnsi="Times New Roman" w:eastAsia="仿宋_GB2312" w:cs="Times New Roman"/>
          <w:b/>
          <w:color w:val="auto"/>
          <w:sz w:val="32"/>
          <w:szCs w:val="32"/>
          <w:highlight w:val="none"/>
        </w:rPr>
        <w:t>公务用车购置支出</w:t>
      </w:r>
      <w:r>
        <w:rPr>
          <w:rFonts w:hint="default" w:ascii="Times New Roman" w:hAnsi="Times New Roman" w:eastAsia="仿宋_GB2312" w:cs="Times New Roman"/>
          <w:b/>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万元。截至</w:t>
      </w: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年12月底，单位共有公务用车</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辆，其中：</w:t>
      </w:r>
      <w:r>
        <w:rPr>
          <w:rFonts w:hint="default" w:ascii="Times New Roman" w:hAnsi="Times New Roman" w:eastAsia="仿宋_GB2312" w:cs="Times New Roman"/>
          <w:color w:val="auto"/>
          <w:sz w:val="32"/>
          <w:szCs w:val="32"/>
          <w:highlight w:val="none"/>
          <w:lang w:eastAsia="zh-CN"/>
        </w:rPr>
        <w:t>商务用车</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辆。</w:t>
      </w:r>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公务用车运行维护费支出</w:t>
      </w:r>
      <w:r>
        <w:rPr>
          <w:rFonts w:hint="default" w:ascii="Times New Roman" w:hAnsi="Times New Roman" w:eastAsia="仿宋_GB2312" w:cs="Times New Roman"/>
          <w:color w:val="auto"/>
          <w:sz w:val="32"/>
          <w:szCs w:val="32"/>
          <w:highlight w:val="none"/>
          <w:lang w:val="en-US" w:eastAsia="zh-CN"/>
        </w:rPr>
        <w:t>3.26</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000000" w:themeColor="text1"/>
          <w:sz w:val="32"/>
          <w:szCs w:val="32"/>
          <w14:textFill>
            <w14:solidFill>
              <w14:schemeClr w14:val="tx1"/>
            </w14:solidFill>
          </w14:textFill>
        </w:rPr>
        <w:t>主要用于开展各项普查业务及调研指导业务等所需的公务用车燃料费、维修费、过路过桥费、保险费等支出。</w:t>
      </w:r>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3.公务接待费支出</w:t>
      </w:r>
      <w:r>
        <w:rPr>
          <w:rFonts w:hint="default" w:ascii="Times New Roman" w:hAnsi="Times New Roman" w:eastAsia="仿宋_GB2312" w:cs="Times New Roman"/>
          <w:color w:val="auto"/>
          <w:sz w:val="32"/>
          <w:szCs w:val="32"/>
          <w:highlight w:val="none"/>
          <w:lang w:val="en-US" w:eastAsia="zh-CN"/>
        </w:rPr>
        <w:t>0.17</w:t>
      </w:r>
      <w:r>
        <w:rPr>
          <w:rFonts w:hint="default" w:ascii="Times New Roman" w:hAnsi="Times New Roman" w:eastAsia="仿宋_GB2312" w:cs="Times New Roman"/>
          <w:color w:val="auto"/>
          <w:sz w:val="32"/>
          <w:szCs w:val="32"/>
          <w:highlight w:val="none"/>
        </w:rPr>
        <w:t>万元，</w:t>
      </w:r>
      <w:r>
        <w:rPr>
          <w:rStyle w:val="14"/>
          <w:rFonts w:hint="default" w:ascii="Times New Roman" w:hAnsi="Times New Roman" w:eastAsia="仿宋_GB2312" w:cs="Times New Roman"/>
          <w:b w:val="0"/>
          <w:bCs/>
          <w:color w:val="auto"/>
          <w:sz w:val="32"/>
          <w:szCs w:val="32"/>
          <w:highlight w:val="none"/>
        </w:rPr>
        <w:t>完成预算</w:t>
      </w:r>
      <w:r>
        <w:rPr>
          <w:rStyle w:val="14"/>
          <w:rFonts w:hint="default" w:ascii="Times New Roman" w:hAnsi="Times New Roman" w:eastAsia="仿宋_GB2312" w:cs="Times New Roman"/>
          <w:b w:val="0"/>
          <w:bCs/>
          <w:color w:val="auto"/>
          <w:sz w:val="32"/>
          <w:szCs w:val="32"/>
          <w:highlight w:val="none"/>
          <w:lang w:val="en-US" w:eastAsia="zh-CN"/>
        </w:rPr>
        <w:t>17</w:t>
      </w:r>
      <w:r>
        <w:rPr>
          <w:rStyle w:val="14"/>
          <w:rFonts w:hint="default" w:ascii="Times New Roman" w:hAnsi="Times New Roman" w:eastAsia="仿宋_GB2312" w:cs="Times New Roman"/>
          <w:b w:val="0"/>
          <w:bCs/>
          <w:color w:val="auto"/>
          <w:sz w:val="32"/>
          <w:szCs w:val="32"/>
          <w:highlight w:val="none"/>
        </w:rPr>
        <w:t>%。</w:t>
      </w:r>
      <w:r>
        <w:rPr>
          <w:rFonts w:hint="default" w:ascii="Times New Roman" w:hAnsi="Times New Roman" w:eastAsia="仿宋_GB2312" w:cs="Times New Roman"/>
          <w:color w:val="auto"/>
          <w:sz w:val="32"/>
          <w:szCs w:val="32"/>
          <w:highlight w:val="none"/>
        </w:rPr>
        <w:t>公务接待费支出决算比</w:t>
      </w:r>
      <w:r>
        <w:rPr>
          <w:rFonts w:hint="default" w:ascii="Times New Roman" w:hAnsi="Times New Roman" w:eastAsia="仿宋_GB2312" w:cs="Times New Roman"/>
          <w:color w:val="auto"/>
          <w:sz w:val="32"/>
          <w:szCs w:val="32"/>
          <w:highlight w:val="none"/>
          <w:lang w:eastAsia="zh-CN"/>
        </w:rPr>
        <w:t>2022</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eastAsia="zh-CN"/>
        </w:rPr>
        <w:t>增加</w:t>
      </w:r>
      <w:r>
        <w:rPr>
          <w:rFonts w:hint="default" w:ascii="Times New Roman" w:hAnsi="Times New Roman" w:eastAsia="仿宋_GB2312" w:cs="Times New Roman"/>
          <w:color w:val="auto"/>
          <w:sz w:val="32"/>
          <w:szCs w:val="32"/>
          <w:highlight w:val="none"/>
          <w:lang w:val="en-US" w:eastAsia="zh-CN"/>
        </w:rPr>
        <w:t>0.05</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增长</w:t>
      </w:r>
      <w:r>
        <w:rPr>
          <w:rFonts w:hint="default" w:ascii="Times New Roman" w:hAnsi="Times New Roman" w:eastAsia="仿宋_GB2312" w:cs="Times New Roman"/>
          <w:color w:val="auto"/>
          <w:sz w:val="32"/>
          <w:szCs w:val="32"/>
          <w:highlight w:val="none"/>
          <w:lang w:val="en-US" w:eastAsia="zh-CN"/>
        </w:rPr>
        <w:t>41.67</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color w:val="auto"/>
          <w:sz w:val="32"/>
          <w:szCs w:val="32"/>
          <w:highlight w:val="none"/>
          <w:lang w:eastAsia="zh-CN"/>
        </w:rPr>
        <w:t>单位经济普查接待任务增加，费用增加</w:t>
      </w:r>
      <w:r>
        <w:rPr>
          <w:rFonts w:hint="default" w:ascii="Times New Roman" w:hAnsi="Times New Roman" w:eastAsia="仿宋_GB2312" w:cs="Times New Roman"/>
          <w:color w:val="auto"/>
          <w:sz w:val="32"/>
          <w:szCs w:val="32"/>
          <w:highlight w:val="none"/>
        </w:rPr>
        <w:t>。其中：</w:t>
      </w:r>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国内公务接待支出</w:t>
      </w:r>
      <w:r>
        <w:rPr>
          <w:rFonts w:hint="default" w:ascii="Times New Roman" w:hAnsi="Times New Roman" w:eastAsia="仿宋_GB2312" w:cs="Times New Roman"/>
          <w:color w:val="auto"/>
          <w:sz w:val="32"/>
          <w:szCs w:val="32"/>
          <w:highlight w:val="none"/>
          <w:lang w:val="en-US" w:eastAsia="zh-CN"/>
        </w:rPr>
        <w:t>0.17</w:t>
      </w:r>
      <w:r>
        <w:rPr>
          <w:rFonts w:hint="default" w:ascii="Times New Roman" w:hAnsi="Times New Roman" w:eastAsia="仿宋_GB2312" w:cs="Times New Roman"/>
          <w:color w:val="auto"/>
          <w:sz w:val="32"/>
          <w:szCs w:val="32"/>
          <w:highlight w:val="none"/>
        </w:rPr>
        <w:t>万元，主要用于</w:t>
      </w:r>
      <w:r>
        <w:rPr>
          <w:rFonts w:hint="default" w:ascii="Times New Roman" w:hAnsi="Times New Roman" w:eastAsia="仿宋_GB2312" w:cs="Times New Roman"/>
          <w:color w:val="auto"/>
          <w:sz w:val="32"/>
          <w:szCs w:val="32"/>
          <w:highlight w:val="none"/>
          <w:lang w:eastAsia="zh-CN"/>
        </w:rPr>
        <w:t>开展各项普查业务及名录库建设调研等</w:t>
      </w:r>
      <w:r>
        <w:rPr>
          <w:rFonts w:hint="default" w:ascii="Times New Roman" w:hAnsi="Times New Roman" w:eastAsia="仿宋_GB2312" w:cs="Times New Roman"/>
          <w:color w:val="auto"/>
          <w:sz w:val="32"/>
          <w:szCs w:val="32"/>
          <w:highlight w:val="none"/>
        </w:rPr>
        <w:t>业务活动开支的用餐费等。国内公务接待</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批次，</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人次（不包括陪同人员），共计支出</w:t>
      </w:r>
      <w:r>
        <w:rPr>
          <w:rFonts w:hint="default" w:ascii="Times New Roman" w:hAnsi="Times New Roman" w:eastAsia="仿宋_GB2312" w:cs="Times New Roman"/>
          <w:color w:val="auto"/>
          <w:sz w:val="32"/>
          <w:szCs w:val="32"/>
          <w:highlight w:val="none"/>
          <w:lang w:val="en-US" w:eastAsia="zh-CN"/>
        </w:rPr>
        <w:t>0.17</w:t>
      </w:r>
      <w:r>
        <w:rPr>
          <w:rFonts w:hint="default" w:ascii="Times New Roman" w:hAnsi="Times New Roman" w:eastAsia="仿宋_GB2312" w:cs="Times New Roman"/>
          <w:color w:val="auto"/>
          <w:sz w:val="32"/>
          <w:szCs w:val="32"/>
          <w:highlight w:val="none"/>
        </w:rPr>
        <w:t>万元，具体内容包括：</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接待国家统计局普查中心来川调研</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批次，</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人，支出0.</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17</w:t>
      </w:r>
      <w:r>
        <w:rPr>
          <w:rFonts w:hint="default" w:ascii="Times New Roman" w:hAnsi="Times New Roman" w:eastAsia="仿宋_GB2312" w:cs="Times New Roman"/>
          <w:color w:val="000000" w:themeColor="text1"/>
          <w:sz w:val="32"/>
          <w:szCs w:val="32"/>
          <w14:textFill>
            <w14:solidFill>
              <w14:schemeClr w14:val="tx1"/>
            </w14:solidFill>
          </w14:textFill>
        </w:rPr>
        <w:t>万元</w:t>
      </w:r>
      <w:r>
        <w:rPr>
          <w:rFonts w:hint="default" w:ascii="Times New Roman" w:hAnsi="Times New Roman" w:eastAsia="仿宋_GB2312" w:cs="Times New Roman"/>
          <w:color w:val="auto"/>
          <w:sz w:val="32"/>
          <w:szCs w:val="32"/>
          <w:highlight w:val="none"/>
        </w:rPr>
        <w:t>。</w:t>
      </w:r>
    </w:p>
    <w:p>
      <w:pPr>
        <w:spacing w:line="600" w:lineRule="exact"/>
        <w:ind w:firstLine="642"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外事接待支出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p>
    <w:p>
      <w:pPr>
        <w:spacing w:line="600" w:lineRule="exact"/>
        <w:ind w:firstLine="640"/>
        <w:outlineLvl w:val="1"/>
        <w:rPr>
          <w:rFonts w:hint="default" w:ascii="Times New Roman" w:hAnsi="Times New Roman" w:eastAsia="黑体" w:cs="Times New Roman"/>
          <w:color w:val="auto"/>
          <w:sz w:val="32"/>
          <w:szCs w:val="32"/>
          <w:highlight w:val="none"/>
        </w:rPr>
      </w:pPr>
      <w:bookmarkStart w:id="40" w:name="_Toc15396610"/>
      <w:bookmarkStart w:id="41" w:name="_Toc15377218"/>
    </w:p>
    <w:p>
      <w:pPr>
        <w:spacing w:line="600" w:lineRule="exact"/>
        <w:ind w:firstLine="640"/>
        <w:outlineLvl w:val="1"/>
        <w:rPr>
          <w:rStyle w:val="25"/>
          <w:rFonts w:hint="default" w:ascii="Times New Roman" w:hAnsi="Times New Roman" w:eastAsia="黑体" w:cs="Times New Roman"/>
          <w:color w:val="auto"/>
          <w:highlight w:val="none"/>
        </w:rPr>
      </w:pPr>
      <w:r>
        <w:rPr>
          <w:rFonts w:hint="default" w:ascii="Times New Roman" w:hAnsi="Times New Roman" w:eastAsia="黑体" w:cs="Times New Roman"/>
          <w:color w:val="auto"/>
          <w:sz w:val="32"/>
          <w:szCs w:val="32"/>
          <w:highlight w:val="none"/>
        </w:rPr>
        <w:t>八、</w:t>
      </w:r>
      <w:r>
        <w:rPr>
          <w:rStyle w:val="25"/>
          <w:rFonts w:hint="default" w:ascii="Times New Roman" w:hAnsi="Times New Roman" w:eastAsia="黑体" w:cs="Times New Roman"/>
          <w:b w:val="0"/>
          <w:color w:val="auto"/>
          <w:highlight w:val="none"/>
        </w:rPr>
        <w:t>政府性基金预算支出决算情况说明</w:t>
      </w:r>
      <w:bookmarkEnd w:id="40"/>
      <w:bookmarkEnd w:id="41"/>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年政府性基金预算</w:t>
      </w:r>
      <w:r>
        <w:rPr>
          <w:rFonts w:hint="default" w:ascii="Times New Roman" w:hAnsi="Times New Roman" w:eastAsia="仿宋_GB2312" w:cs="Times New Roman"/>
          <w:color w:val="auto"/>
          <w:sz w:val="32"/>
          <w:szCs w:val="32"/>
          <w:highlight w:val="none"/>
          <w:lang w:eastAsia="zh-CN"/>
        </w:rPr>
        <w:t>财政</w:t>
      </w:r>
      <w:r>
        <w:rPr>
          <w:rFonts w:hint="default" w:ascii="Times New Roman" w:hAnsi="Times New Roman" w:eastAsia="仿宋_GB2312" w:cs="Times New Roman"/>
          <w:color w:val="auto"/>
          <w:sz w:val="32"/>
          <w:szCs w:val="32"/>
          <w:highlight w:val="none"/>
        </w:rPr>
        <w:t>拨款支出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p>
    <w:p>
      <w:pPr>
        <w:spacing w:line="600" w:lineRule="exact"/>
        <w:ind w:firstLine="640"/>
        <w:rPr>
          <w:rFonts w:hint="default" w:ascii="Times New Roman" w:hAnsi="Times New Roman" w:eastAsia="仿宋_GB2312" w:cs="Times New Roman"/>
          <w:color w:val="auto"/>
          <w:sz w:val="32"/>
          <w:szCs w:val="32"/>
          <w:highlight w:val="none"/>
        </w:rPr>
      </w:pPr>
    </w:p>
    <w:p>
      <w:pPr>
        <w:numPr>
          <w:ilvl w:val="0"/>
          <w:numId w:val="2"/>
        </w:numPr>
        <w:spacing w:line="600" w:lineRule="exact"/>
        <w:ind w:firstLine="640"/>
        <w:outlineLvl w:val="1"/>
        <w:rPr>
          <w:rStyle w:val="25"/>
          <w:rFonts w:hint="default" w:ascii="Times New Roman" w:hAnsi="Times New Roman" w:eastAsia="黑体" w:cs="Times New Roman"/>
          <w:b w:val="0"/>
          <w:color w:val="auto"/>
          <w:highlight w:val="none"/>
        </w:rPr>
      </w:pPr>
      <w:bookmarkStart w:id="42" w:name="_Toc15396611"/>
      <w:bookmarkStart w:id="43" w:name="_Toc15377219"/>
      <w:r>
        <w:rPr>
          <w:rStyle w:val="25"/>
          <w:rFonts w:hint="default" w:ascii="Times New Roman" w:hAnsi="Times New Roman" w:eastAsia="黑体" w:cs="Times New Roman"/>
          <w:b w:val="0"/>
          <w:color w:val="auto"/>
          <w:highlight w:val="none"/>
        </w:rPr>
        <w:t>国有资本经营预算支出决算情况说明</w:t>
      </w:r>
      <w:bookmarkEnd w:id="42"/>
      <w:bookmarkEnd w:id="43"/>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年国有资本经营预算</w:t>
      </w:r>
      <w:r>
        <w:rPr>
          <w:rFonts w:hint="default" w:ascii="Times New Roman" w:hAnsi="Times New Roman" w:eastAsia="仿宋_GB2312" w:cs="Times New Roman"/>
          <w:color w:val="auto"/>
          <w:sz w:val="32"/>
          <w:szCs w:val="32"/>
          <w:highlight w:val="none"/>
          <w:lang w:eastAsia="zh-CN"/>
        </w:rPr>
        <w:t>财政</w:t>
      </w:r>
      <w:r>
        <w:rPr>
          <w:rFonts w:hint="default" w:ascii="Times New Roman" w:hAnsi="Times New Roman" w:eastAsia="仿宋_GB2312" w:cs="Times New Roman"/>
          <w:color w:val="auto"/>
          <w:sz w:val="32"/>
          <w:szCs w:val="32"/>
          <w:highlight w:val="none"/>
        </w:rPr>
        <w:t>拨款支出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p>
    <w:p>
      <w:pPr>
        <w:spacing w:line="580" w:lineRule="exact"/>
        <w:jc w:val="center"/>
        <w:rPr>
          <w:rFonts w:hint="default" w:ascii="Times New Roman" w:hAnsi="Times New Roman" w:eastAsia="方正小标宋简体" w:cs="Times New Roman"/>
          <w:color w:val="auto"/>
          <w:sz w:val="44"/>
          <w:szCs w:val="44"/>
          <w:highlight w:val="none"/>
        </w:rPr>
      </w:pPr>
    </w:p>
    <w:p>
      <w:pPr>
        <w:numPr>
          <w:ilvl w:val="0"/>
          <w:numId w:val="2"/>
        </w:numPr>
        <w:spacing w:line="600" w:lineRule="exact"/>
        <w:ind w:firstLine="640"/>
        <w:outlineLvl w:val="1"/>
        <w:rPr>
          <w:rStyle w:val="25"/>
          <w:rFonts w:hint="default" w:ascii="Times New Roman" w:hAnsi="Times New Roman" w:eastAsia="黑体" w:cs="Times New Roman"/>
          <w:b w:val="0"/>
          <w:color w:val="auto"/>
          <w:highlight w:val="none"/>
        </w:rPr>
      </w:pPr>
      <w:bookmarkStart w:id="44" w:name="_Toc15396612"/>
      <w:bookmarkStart w:id="45" w:name="_Toc15377221"/>
      <w:r>
        <w:rPr>
          <w:rStyle w:val="25"/>
          <w:rFonts w:hint="default" w:ascii="Times New Roman" w:hAnsi="Times New Roman" w:eastAsia="黑体" w:cs="Times New Roman"/>
          <w:b w:val="0"/>
          <w:color w:val="auto"/>
          <w:highlight w:val="none"/>
        </w:rPr>
        <w:t>其他重要事项的情况说明</w:t>
      </w:r>
      <w:bookmarkEnd w:id="44"/>
      <w:bookmarkEnd w:id="45"/>
    </w:p>
    <w:p>
      <w:pPr>
        <w:spacing w:line="600" w:lineRule="exact"/>
        <w:ind w:firstLine="642" w:firstLineChars="200"/>
        <w:outlineLvl w:val="2"/>
        <w:rPr>
          <w:rFonts w:hint="default" w:ascii="Times New Roman" w:hAnsi="Times New Roman" w:eastAsia="仿宋_GB2312" w:cs="Times New Roman"/>
          <w:color w:val="auto"/>
          <w:sz w:val="32"/>
          <w:szCs w:val="32"/>
          <w:highlight w:val="none"/>
        </w:rPr>
      </w:pPr>
      <w:bookmarkStart w:id="46" w:name="_Toc15377222"/>
      <w:r>
        <w:rPr>
          <w:rFonts w:hint="default" w:ascii="Times New Roman" w:hAnsi="Times New Roman" w:eastAsia="仿宋_GB2312" w:cs="Times New Roman"/>
          <w:b/>
          <w:color w:val="auto"/>
          <w:sz w:val="32"/>
          <w:szCs w:val="32"/>
          <w:highlight w:val="none"/>
        </w:rPr>
        <w:t>（一）机关运行经费支出情况</w:t>
      </w:r>
      <w:bookmarkEnd w:id="46"/>
    </w:p>
    <w:p>
      <w:pPr>
        <w:spacing w:line="600" w:lineRule="exact"/>
        <w:ind w:firstLine="640" w:firstLineChars="200"/>
        <w:rPr>
          <w:rFonts w:hint="default" w:ascii="Times New Roman" w:hAnsi="Times New Roman" w:eastAsia="仿宋_GB2312" w:cs="Times New Roman"/>
          <w:color w:val="0000FF"/>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eastAsia="zh-CN"/>
        </w:rPr>
        <w:t>四川省普查中心</w:t>
      </w:r>
      <w:r>
        <w:rPr>
          <w:rFonts w:hint="default" w:ascii="Times New Roman" w:hAnsi="Times New Roman" w:eastAsia="仿宋_GB2312" w:cs="Times New Roman"/>
          <w:color w:val="auto"/>
          <w:sz w:val="32"/>
          <w:szCs w:val="32"/>
          <w:highlight w:val="none"/>
        </w:rPr>
        <w:t>机关运行经费支出</w:t>
      </w:r>
      <w:r>
        <w:rPr>
          <w:rFonts w:hint="default" w:ascii="Times New Roman" w:hAnsi="Times New Roman" w:eastAsia="仿宋_GB2312" w:cs="Times New Roman"/>
          <w:color w:val="auto"/>
          <w:sz w:val="32"/>
          <w:szCs w:val="32"/>
          <w:highlight w:val="none"/>
          <w:lang w:val="en-US" w:eastAsia="zh-CN"/>
        </w:rPr>
        <w:t>100.52</w:t>
      </w:r>
      <w:r>
        <w:rPr>
          <w:rFonts w:hint="default" w:ascii="Times New Roman" w:hAnsi="Times New Roman" w:eastAsia="仿宋_GB2312" w:cs="Times New Roman"/>
          <w:color w:val="auto"/>
          <w:sz w:val="32"/>
          <w:szCs w:val="32"/>
          <w:highlight w:val="none"/>
        </w:rPr>
        <w:t>万元，比</w:t>
      </w:r>
      <w:r>
        <w:rPr>
          <w:rFonts w:hint="default" w:ascii="Times New Roman" w:hAnsi="Times New Roman" w:eastAsia="仿宋_GB2312" w:cs="Times New Roman"/>
          <w:color w:val="auto"/>
          <w:sz w:val="32"/>
          <w:szCs w:val="32"/>
          <w:highlight w:val="none"/>
          <w:lang w:eastAsia="zh-CN"/>
        </w:rPr>
        <w:t>2022</w:t>
      </w:r>
      <w:r>
        <w:rPr>
          <w:rFonts w:hint="default" w:ascii="Times New Roman" w:hAnsi="Times New Roman" w:eastAsia="仿宋_GB2312" w:cs="Times New Roman"/>
          <w:color w:val="auto"/>
          <w:sz w:val="32"/>
          <w:szCs w:val="32"/>
          <w:highlight w:val="none"/>
        </w:rPr>
        <w:t>年增加</w:t>
      </w:r>
      <w:r>
        <w:rPr>
          <w:rFonts w:hint="default" w:ascii="Times New Roman" w:hAnsi="Times New Roman" w:eastAsia="仿宋_GB2312" w:cs="Times New Roman"/>
          <w:color w:val="auto"/>
          <w:sz w:val="32"/>
          <w:szCs w:val="32"/>
          <w:highlight w:val="none"/>
          <w:lang w:val="en-US" w:eastAsia="zh-CN"/>
        </w:rPr>
        <w:t>16.5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万元，增长</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19.70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%。主要原因是</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单位培训费、差旅费开支增加。</w:t>
      </w:r>
    </w:p>
    <w:p>
      <w:pPr>
        <w:autoSpaceDE w:val="0"/>
        <w:autoSpaceDN w:val="0"/>
        <w:adjustRightInd w:val="0"/>
        <w:spacing w:line="600" w:lineRule="exact"/>
        <w:ind w:firstLine="642" w:firstLineChars="200"/>
        <w:jc w:val="left"/>
        <w:outlineLvl w:val="2"/>
        <w:rPr>
          <w:rFonts w:hint="default" w:ascii="Times New Roman" w:hAnsi="Times New Roman" w:eastAsia="仿宋_GB2312" w:cs="Times New Roman"/>
          <w:b/>
          <w:color w:val="auto"/>
          <w:sz w:val="32"/>
          <w:szCs w:val="32"/>
          <w:highlight w:val="none"/>
        </w:rPr>
      </w:pPr>
      <w:bookmarkStart w:id="47" w:name="_Toc15377223"/>
      <w:r>
        <w:rPr>
          <w:rFonts w:hint="default" w:ascii="Times New Roman" w:hAnsi="Times New Roman" w:eastAsia="仿宋_GB2312" w:cs="Times New Roman"/>
          <w:b/>
          <w:color w:val="auto"/>
          <w:sz w:val="32"/>
          <w:szCs w:val="32"/>
          <w:highlight w:val="none"/>
        </w:rPr>
        <w:t>（二）政府采购支出情况</w:t>
      </w:r>
      <w:bookmarkEnd w:id="47"/>
    </w:p>
    <w:p>
      <w:pPr>
        <w:spacing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eastAsia="zh-CN"/>
        </w:rPr>
        <w:t>四川省普查中心</w:t>
      </w:r>
      <w:r>
        <w:rPr>
          <w:rFonts w:hint="default" w:ascii="Times New Roman" w:hAnsi="Times New Roman" w:eastAsia="仿宋_GB2312" w:cs="Times New Roman"/>
          <w:color w:val="auto"/>
          <w:sz w:val="32"/>
          <w:szCs w:val="32"/>
          <w:highlight w:val="none"/>
        </w:rPr>
        <w:t>政府采购支出总额</w:t>
      </w:r>
      <w:r>
        <w:rPr>
          <w:rFonts w:hint="default" w:ascii="Times New Roman" w:hAnsi="Times New Roman" w:eastAsia="仿宋_GB2312" w:cs="Times New Roman"/>
          <w:color w:val="auto"/>
          <w:sz w:val="32"/>
          <w:szCs w:val="32"/>
          <w:highlight w:val="none"/>
          <w:lang w:val="en-US" w:eastAsia="zh-CN"/>
        </w:rPr>
        <w:t>222.72</w:t>
      </w:r>
      <w:r>
        <w:rPr>
          <w:rFonts w:hint="default" w:ascii="Times New Roman" w:hAnsi="Times New Roman" w:eastAsia="仿宋_GB2312" w:cs="Times New Roman"/>
          <w:color w:val="auto"/>
          <w:sz w:val="32"/>
          <w:szCs w:val="32"/>
          <w:highlight w:val="none"/>
        </w:rPr>
        <w:t>万元，其中：政府采购服务支出</w:t>
      </w:r>
      <w:r>
        <w:rPr>
          <w:rFonts w:hint="default" w:ascii="Times New Roman" w:hAnsi="Times New Roman" w:eastAsia="仿宋_GB2312" w:cs="Times New Roman"/>
          <w:color w:val="auto"/>
          <w:sz w:val="32"/>
          <w:szCs w:val="32"/>
          <w:highlight w:val="none"/>
          <w:lang w:val="en-US" w:eastAsia="zh-CN"/>
        </w:rPr>
        <w:t>222.72</w:t>
      </w:r>
      <w:r>
        <w:rPr>
          <w:rFonts w:hint="default" w:ascii="Times New Roman" w:hAnsi="Times New Roman" w:eastAsia="仿宋_GB2312" w:cs="Times New Roman"/>
          <w:color w:val="auto"/>
          <w:sz w:val="32"/>
          <w:szCs w:val="32"/>
          <w:highlight w:val="none"/>
        </w:rPr>
        <w:t>万元。主要用于</w:t>
      </w:r>
      <w:r>
        <w:rPr>
          <w:rFonts w:hint="default" w:ascii="Times New Roman" w:hAnsi="Times New Roman" w:eastAsia="仿宋_GB2312" w:cs="Times New Roman"/>
          <w:color w:val="000000" w:themeColor="text1"/>
          <w:sz w:val="32"/>
          <w:szCs w:val="32"/>
          <w14:textFill>
            <w14:solidFill>
              <w14:schemeClr w14:val="tx1"/>
            </w14:solidFill>
          </w14:textFill>
        </w:rPr>
        <w:t>公务用车加油、维修</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保险服务及基本单位名录系统维护费</w:t>
      </w:r>
      <w:r>
        <w:rPr>
          <w:rFonts w:hint="default" w:ascii="Times New Roman" w:hAnsi="Times New Roman" w:eastAsia="仿宋_GB2312" w:cs="Times New Roman"/>
          <w:color w:val="auto"/>
          <w:sz w:val="32"/>
          <w:szCs w:val="32"/>
          <w:highlight w:val="none"/>
        </w:rPr>
        <w:t>。授予中小企业合同金额</w:t>
      </w:r>
      <w:r>
        <w:rPr>
          <w:rFonts w:hint="default" w:ascii="Times New Roman" w:hAnsi="Times New Roman" w:eastAsia="仿宋_GB2312" w:cs="Times New Roman"/>
          <w:color w:val="auto"/>
          <w:sz w:val="32"/>
          <w:szCs w:val="32"/>
          <w:highlight w:val="none"/>
          <w:lang w:val="en-US" w:eastAsia="zh-CN"/>
        </w:rPr>
        <w:t>219.99</w:t>
      </w:r>
      <w:r>
        <w:rPr>
          <w:rFonts w:hint="default" w:ascii="Times New Roman" w:hAnsi="Times New Roman" w:eastAsia="仿宋_GB2312" w:cs="Times New Roman"/>
          <w:color w:val="auto"/>
          <w:sz w:val="32"/>
          <w:szCs w:val="32"/>
          <w:highlight w:val="none"/>
        </w:rPr>
        <w:t>万元，占政府采购支出总额的</w:t>
      </w:r>
      <w:r>
        <w:rPr>
          <w:rFonts w:hint="default" w:ascii="Times New Roman" w:hAnsi="Times New Roman" w:eastAsia="仿宋_GB2312" w:cs="Times New Roman"/>
          <w:color w:val="auto"/>
          <w:sz w:val="32"/>
          <w:szCs w:val="32"/>
          <w:highlight w:val="none"/>
          <w:lang w:val="en-US" w:eastAsia="zh-CN"/>
        </w:rPr>
        <w:t>98.77</w:t>
      </w:r>
      <w:r>
        <w:rPr>
          <w:rFonts w:hint="default" w:ascii="Times New Roman" w:hAnsi="Times New Roman" w:eastAsia="仿宋_GB2312" w:cs="Times New Roman"/>
          <w:color w:val="auto"/>
          <w:sz w:val="32"/>
          <w:szCs w:val="32"/>
          <w:highlight w:val="none"/>
        </w:rPr>
        <w:t>%，其中：授予小微企业合同金额</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p>
    <w:p>
      <w:pPr>
        <w:autoSpaceDE w:val="0"/>
        <w:autoSpaceDN w:val="0"/>
        <w:adjustRightInd w:val="0"/>
        <w:spacing w:line="600" w:lineRule="exact"/>
        <w:ind w:firstLine="642" w:firstLineChars="200"/>
        <w:jc w:val="left"/>
        <w:outlineLvl w:val="2"/>
        <w:rPr>
          <w:rFonts w:hint="default" w:ascii="Times New Roman" w:hAnsi="Times New Roman" w:eastAsia="仿宋_GB2312" w:cs="Times New Roman"/>
          <w:b/>
          <w:color w:val="auto"/>
          <w:sz w:val="32"/>
          <w:szCs w:val="32"/>
          <w:highlight w:val="none"/>
        </w:rPr>
      </w:pPr>
      <w:bookmarkStart w:id="48" w:name="_Toc15377224"/>
      <w:r>
        <w:rPr>
          <w:rFonts w:hint="default" w:ascii="Times New Roman" w:hAnsi="Times New Roman" w:eastAsia="仿宋_GB2312" w:cs="Times New Roman"/>
          <w:b/>
          <w:color w:val="auto"/>
          <w:sz w:val="32"/>
          <w:szCs w:val="32"/>
          <w:highlight w:val="none"/>
        </w:rPr>
        <w:t>（三）国有资产占有使用情况</w:t>
      </w:r>
      <w:bookmarkEnd w:id="48"/>
    </w:p>
    <w:p>
      <w:pPr>
        <w:autoSpaceDE w:val="0"/>
        <w:autoSpaceDN w:val="0"/>
        <w:adjustRightInd w:val="0"/>
        <w:spacing w:line="600" w:lineRule="exact"/>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截至</w:t>
      </w: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年12月31日，</w:t>
      </w:r>
      <w:r>
        <w:rPr>
          <w:rFonts w:hint="default" w:ascii="Times New Roman" w:hAnsi="Times New Roman" w:eastAsia="仿宋_GB2312" w:cs="Times New Roman"/>
          <w:color w:val="auto"/>
          <w:sz w:val="32"/>
          <w:szCs w:val="32"/>
          <w:highlight w:val="none"/>
          <w:lang w:eastAsia="zh-CN"/>
        </w:rPr>
        <w:t>四川省普查中心</w:t>
      </w:r>
      <w:r>
        <w:rPr>
          <w:rFonts w:hint="default" w:ascii="Times New Roman" w:hAnsi="Times New Roman" w:eastAsia="仿宋_GB2312" w:cs="Times New Roman"/>
          <w:color w:val="auto"/>
          <w:sz w:val="32"/>
          <w:szCs w:val="32"/>
          <w:highlight w:val="none"/>
        </w:rPr>
        <w:t>共有车辆</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辆，其中：其他用车</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辆</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其他用车主要是用于</w:t>
      </w:r>
      <w:r>
        <w:rPr>
          <w:rFonts w:hint="default" w:ascii="Times New Roman" w:hAnsi="Times New Roman" w:eastAsia="仿宋_GB2312" w:cs="Times New Roman"/>
          <w:color w:val="000000" w:themeColor="text1"/>
          <w:sz w:val="32"/>
          <w:szCs w:val="32"/>
          <w14:textFill>
            <w14:solidFill>
              <w14:schemeClr w14:val="tx1"/>
            </w14:solidFill>
          </w14:textFill>
        </w:rPr>
        <w:t>开展各项普查业务及调研指导等活动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单价100万元以上专用设备</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台（套）。</w:t>
      </w:r>
    </w:p>
    <w:p>
      <w:pPr>
        <w:autoSpaceDE w:val="0"/>
        <w:autoSpaceDN w:val="0"/>
        <w:adjustRightInd w:val="0"/>
        <w:spacing w:line="600" w:lineRule="exact"/>
        <w:ind w:firstLine="642" w:firstLineChars="200"/>
        <w:jc w:val="left"/>
        <w:outlineLvl w:val="2"/>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rPr>
        <w:t>（四）预算绩效管理情况</w:t>
      </w:r>
    </w:p>
    <w:p>
      <w:pPr>
        <w:spacing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据预算绩效管理要求，本单位在</w:t>
      </w:r>
      <w:r>
        <w:rPr>
          <w:rFonts w:hint="default" w:ascii="Times New Roman" w:hAnsi="Times New Roman" w:eastAsia="仿宋_GB2312" w:cs="Times New Roman"/>
          <w:color w:val="auto"/>
          <w:sz w:val="32"/>
          <w:szCs w:val="32"/>
          <w:highlight w:val="none"/>
          <w:lang w:eastAsia="zh-CN"/>
        </w:rPr>
        <w:t>2023</w:t>
      </w:r>
      <w:r>
        <w:rPr>
          <w:rFonts w:hint="default" w:ascii="Times New Roman" w:hAnsi="Times New Roman" w:eastAsia="仿宋_GB2312" w:cs="Times New Roman"/>
          <w:color w:val="auto"/>
          <w:sz w:val="32"/>
          <w:szCs w:val="32"/>
          <w:highlight w:val="none"/>
        </w:rPr>
        <w:t>年度预算编制阶段，</w:t>
      </w:r>
      <w:r>
        <w:rPr>
          <w:rFonts w:hint="default" w:ascii="Times New Roman" w:hAnsi="Times New Roman" w:eastAsia="仿宋_GB2312" w:cs="Times New Roman"/>
          <w:color w:val="auto"/>
          <w:sz w:val="32"/>
          <w:szCs w:val="32"/>
          <w:highlight w:val="none"/>
          <w:lang w:eastAsia="zh-CN"/>
        </w:rPr>
        <w:t>组织对基本单位名录库建设专项</w:t>
      </w:r>
      <w:r>
        <w:rPr>
          <w:rFonts w:hint="default" w:ascii="Times New Roman" w:hAnsi="Times New Roman" w:eastAsia="仿宋_GB2312" w:cs="Times New Roman"/>
          <w:color w:val="auto"/>
          <w:sz w:val="32"/>
          <w:szCs w:val="32"/>
          <w:highlight w:val="none"/>
        </w:rPr>
        <w:t>开展预算事前绩效评估，</w:t>
      </w:r>
      <w:r>
        <w:rPr>
          <w:rFonts w:hint="default" w:ascii="Times New Roman" w:hAnsi="Times New Roman" w:eastAsia="仿宋_GB2312" w:cs="Times New Roman"/>
          <w:color w:val="auto"/>
          <w:sz w:val="32"/>
          <w:szCs w:val="32"/>
          <w:highlight w:val="none"/>
          <w:lang w:eastAsia="zh-CN"/>
        </w:rPr>
        <w:t>对</w:t>
      </w: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个项目编制了绩效目标，预算执行过程中，选取</w:t>
      </w: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个项目开展绩效监控，</w:t>
      </w:r>
      <w:r>
        <w:rPr>
          <w:rFonts w:hint="default" w:ascii="Times New Roman" w:hAnsi="Times New Roman" w:eastAsia="仿宋_GB2312" w:cs="Times New Roman"/>
          <w:color w:val="auto"/>
          <w:sz w:val="32"/>
          <w:szCs w:val="32"/>
          <w:highlight w:val="none"/>
          <w:lang w:eastAsia="zh-CN"/>
        </w:rPr>
        <w:t>无</w:t>
      </w:r>
      <w:r>
        <w:rPr>
          <w:rFonts w:hint="default" w:ascii="Times New Roman" w:hAnsi="Times New Roman" w:eastAsia="仿宋_GB2312" w:cs="Times New Roman"/>
          <w:color w:val="auto"/>
          <w:sz w:val="32"/>
          <w:szCs w:val="32"/>
          <w:highlight w:val="none"/>
        </w:rPr>
        <w:t>绩效自评</w:t>
      </w:r>
      <w:r>
        <w:rPr>
          <w:rFonts w:hint="default" w:ascii="Times New Roman" w:hAnsi="Times New Roman" w:eastAsia="仿宋_GB2312" w:cs="Times New Roman"/>
          <w:color w:val="auto"/>
          <w:sz w:val="32"/>
          <w:szCs w:val="32"/>
          <w:highlight w:val="none"/>
          <w:lang w:eastAsia="zh-CN"/>
        </w:rPr>
        <w:t>任务</w:t>
      </w:r>
      <w:r>
        <w:rPr>
          <w:rFonts w:hint="default" w:ascii="Times New Roman" w:hAnsi="Times New Roman" w:eastAsia="仿宋_GB2312" w:cs="Times New Roman"/>
          <w:color w:val="auto"/>
          <w:sz w:val="32"/>
          <w:szCs w:val="32"/>
          <w:highlight w:val="none"/>
        </w:rPr>
        <w:t>，绩效自评表详见</w:t>
      </w:r>
      <w:r>
        <w:rPr>
          <w:rFonts w:hint="default" w:ascii="Times New Roman" w:hAnsi="Times New Roman" w:eastAsia="仿宋_GB2312" w:cs="Times New Roman"/>
          <w:color w:val="auto"/>
          <w:sz w:val="32"/>
          <w:szCs w:val="32"/>
          <w:highlight w:val="none"/>
          <w:lang w:eastAsia="zh-CN"/>
        </w:rPr>
        <w:t>第四部分</w:t>
      </w:r>
      <w:r>
        <w:rPr>
          <w:rFonts w:hint="default" w:ascii="Times New Roman" w:hAnsi="Times New Roman" w:eastAsia="仿宋_GB2312" w:cs="Times New Roman"/>
          <w:color w:val="auto"/>
          <w:sz w:val="32"/>
          <w:szCs w:val="32"/>
          <w:highlight w:val="none"/>
        </w:rPr>
        <w:t>附件。</w:t>
      </w:r>
    </w:p>
    <w:p>
      <w:pPr>
        <w:widowControl/>
        <w:jc w:val="left"/>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br w:type="page"/>
      </w:r>
    </w:p>
    <w:p>
      <w:pPr>
        <w:numPr>
          <w:ilvl w:val="0"/>
          <w:numId w:val="3"/>
        </w:numPr>
        <w:spacing w:line="600" w:lineRule="exact"/>
        <w:ind w:firstLine="660" w:firstLineChars="150"/>
        <w:jc w:val="center"/>
        <w:outlineLvl w:val="0"/>
        <w:rPr>
          <w:rStyle w:val="24"/>
          <w:rFonts w:hint="default" w:ascii="Times New Roman" w:hAnsi="Times New Roman" w:eastAsia="黑体" w:cs="Times New Roman"/>
          <w:b w:val="0"/>
          <w:color w:val="auto"/>
          <w:highlight w:val="none"/>
        </w:rPr>
      </w:pPr>
      <w:bookmarkStart w:id="49" w:name="_Toc15396613"/>
      <w:bookmarkStart w:id="50" w:name="_Toc15377225"/>
      <w:r>
        <w:rPr>
          <w:rFonts w:hint="default" w:ascii="Times New Roman" w:hAnsi="Times New Roman" w:eastAsia="黑体" w:cs="Times New Roman"/>
          <w:color w:val="auto"/>
          <w:sz w:val="44"/>
          <w:szCs w:val="44"/>
          <w:highlight w:val="none"/>
        </w:rPr>
        <w:t>名</w:t>
      </w:r>
      <w:r>
        <w:rPr>
          <w:rStyle w:val="24"/>
          <w:rFonts w:hint="default" w:ascii="Times New Roman" w:hAnsi="Times New Roman" w:eastAsia="黑体" w:cs="Times New Roman"/>
          <w:b w:val="0"/>
          <w:color w:val="auto"/>
          <w:highlight w:val="none"/>
        </w:rPr>
        <w:t>词解释</w:t>
      </w:r>
      <w:bookmarkEnd w:id="49"/>
      <w:bookmarkEnd w:id="50"/>
    </w:p>
    <w:p>
      <w:pPr>
        <w:spacing w:line="600" w:lineRule="exact"/>
        <w:jc w:val="left"/>
        <w:rPr>
          <w:rFonts w:hint="default" w:ascii="Times New Roman" w:hAnsi="Times New Roman" w:cs="Times New Roman"/>
          <w:b/>
          <w:color w:val="auto"/>
          <w:sz w:val="44"/>
          <w:szCs w:val="44"/>
          <w:highlight w:val="none"/>
        </w:rPr>
      </w:pP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bookmarkStart w:id="51" w:name="_Toc15396614"/>
      <w:bookmarkStart w:id="52" w:name="_Toc15377226"/>
      <w:r>
        <w:rPr>
          <w:rFonts w:hint="default" w:ascii="Times New Roman" w:hAnsi="Times New Roman" w:eastAsia="仿宋_GB2312" w:cs="Times New Roman"/>
          <w:bCs/>
          <w:color w:val="000000" w:themeColor="text1"/>
          <w:sz w:val="32"/>
          <w:szCs w:val="32"/>
          <w14:textFill>
            <w14:solidFill>
              <w14:schemeClr w14:val="tx1"/>
            </w14:solidFill>
          </w14:textFill>
        </w:rPr>
        <w:t>1.财政拨款收入：指单位从同级财政部门取得的财政预算资金。</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 xml:space="preserve">2.年初结转和结余：指以前年度尚未完成、结转到本年按有关规定继续使用的资金。 </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3.结余分配：指事业单位按照会计制度规定缴纳的所得税、提取的专用结余以及转入非财政拨款结余的金额等。</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4.年末结转和结余：指单位按有关规定结转到下年或以后年度继续使用的资金。</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5.一般公共服务（类）统计信息事务（款）行政运行（项）:指单位的基本支出。</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6.一般公共服务（类）统计信息事务（款）其他统计信息事务支出（项）: 指在上述项目以外的其他统计信息事务支出。</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7.教育支出（类）进修及培训（款）培训支出（项）: 指用于安排的培训支出。</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8.社会保障和就业（类）行政事业单位养老支出（款）机关事业单位基本养老保险缴费支出（项）: 指单位实施养老保险制度由单位缴纳的基本养老保险费支出。</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9.卫生健康（类）行政事业单位医疗（款）行政单位医疗（项）:指财政部门安排的行政单位基本医疗保险缴费经费。</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10.住房保障支出（类）住房改革支出（款）住房公积金（项）:指行政事业单位按人力资源和社会保障部、财政部规定的基本工资和津贴补贴以及规定比例为职工缴纳的住房公积金。</w:t>
      </w:r>
    </w:p>
    <w:p>
      <w:pPr>
        <w:spacing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11.住房保障支出（类）住房改革支出（款）购房补贴（项）:指按房改政策规定，行政事业单位向符合条件职工（含离退休人员）发放的用于购买住房的补贴。</w:t>
      </w:r>
    </w:p>
    <w:p>
      <w:pPr>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12.基本支出：指为保障机构正常运转、完成日常工作任务而发生的人员支出和公用支出。</w:t>
      </w:r>
    </w:p>
    <w:p>
      <w:pPr>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13.项目支出：指在基本支出之外为完成特定行政任务和事业发展目标所发生的支出。 </w:t>
      </w:r>
    </w:p>
    <w:p>
      <w:pPr>
        <w:autoSpaceDE w:val="0"/>
        <w:autoSpaceDN w:val="0"/>
        <w:adjustRightInd w:val="0"/>
        <w:spacing w:line="560" w:lineRule="exact"/>
        <w:ind w:firstLine="640" w:firstLineChars="200"/>
        <w:jc w:val="left"/>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14.“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autoSpaceDE w:val="0"/>
        <w:autoSpaceDN w:val="0"/>
        <w:adjustRightInd w:val="0"/>
        <w:spacing w:line="560" w:lineRule="exact"/>
        <w:ind w:firstLine="640" w:firstLineChars="200"/>
        <w:jc w:val="left"/>
        <w:rPr>
          <w:rFonts w:hint="default" w:ascii="Times New Roman" w:hAnsi="Times New Roman" w:eastAsia="黑体" w:cs="Times New Roman"/>
          <w:color w:val="auto"/>
          <w:sz w:val="44"/>
          <w:szCs w:val="44"/>
          <w:highlight w:val="none"/>
        </w:rPr>
      </w:pPr>
      <w:r>
        <w:rPr>
          <w:rFonts w:hint="default" w:ascii="Times New Roman" w:hAnsi="Times New Roman" w:eastAsia="仿宋_GB2312" w:cs="Times New Roman"/>
          <w:color w:val="000000" w:themeColor="text1"/>
          <w:kern w:val="0"/>
          <w:sz w:val="32"/>
          <w:szCs w:val="32"/>
          <w14:textFill>
            <w14:solidFill>
              <w14:schemeClr w14:val="tx1"/>
            </w14:solidFill>
          </w14:textFill>
        </w:rPr>
        <w:t>15.机关运行经费：为保障行政单位（含参照公务员法管理的事业单位）运行用于购买货物和服务的各项资金，包括办公及印刷费、邮电费、差旅费、会议费、福利费、日常维修费、办公用房水电费、办公用房物业管理费、公务用车运行维护费以及其他费用。</w:t>
      </w:r>
    </w:p>
    <w:p>
      <w:pPr>
        <w:spacing w:line="600" w:lineRule="exact"/>
        <w:jc w:val="center"/>
        <w:outlineLvl w:val="0"/>
        <w:rPr>
          <w:rStyle w:val="24"/>
          <w:rFonts w:hint="default" w:ascii="Times New Roman" w:hAnsi="Times New Roman" w:eastAsia="黑体" w:cs="Times New Roman"/>
          <w:b w:val="0"/>
          <w:color w:val="auto"/>
          <w:highlight w:val="none"/>
        </w:rPr>
      </w:pPr>
      <w:r>
        <w:rPr>
          <w:rFonts w:hint="default" w:ascii="Times New Roman" w:hAnsi="Times New Roman" w:eastAsia="黑体" w:cs="Times New Roman"/>
          <w:color w:val="auto"/>
          <w:sz w:val="44"/>
          <w:szCs w:val="44"/>
          <w:highlight w:val="none"/>
        </w:rPr>
        <w:t>第</w:t>
      </w:r>
      <w:r>
        <w:rPr>
          <w:rStyle w:val="24"/>
          <w:rFonts w:hint="default" w:ascii="Times New Roman" w:hAnsi="Times New Roman" w:eastAsia="黑体" w:cs="Times New Roman"/>
          <w:b w:val="0"/>
          <w:color w:val="auto"/>
          <w:highlight w:val="none"/>
        </w:rPr>
        <w:t>四部分 附件</w:t>
      </w:r>
      <w:bookmarkEnd w:id="51"/>
    </w:p>
    <w:p>
      <w:pPr>
        <w:keepNext w:val="0"/>
        <w:keepLines w:val="0"/>
        <w:pageBreakBefore w:val="0"/>
        <w:kinsoku/>
        <w:wordWrap/>
        <w:overflowPunct/>
        <w:topLinePunct w:val="0"/>
        <w:autoSpaceDE/>
        <w:autoSpaceDN/>
        <w:bidi w:val="0"/>
        <w:spacing w:line="572" w:lineRule="exact"/>
        <w:jc w:val="left"/>
        <w:textAlignment w:val="auto"/>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无</w:t>
      </w:r>
    </w:p>
    <w:p>
      <w:pPr>
        <w:pStyle w:val="2"/>
        <w:rPr>
          <w:rFonts w:hint="default" w:ascii="Times New Roman" w:hAnsi="Times New Roman" w:eastAsia="仿宋_GB2312" w:cs="Times New Roman"/>
          <w:color w:val="auto"/>
          <w:kern w:val="0"/>
          <w:sz w:val="32"/>
          <w:szCs w:val="32"/>
          <w:highlight w:val="none"/>
          <w:lang w:val="en-US" w:eastAsia="zh-CN" w:bidi="ar-SA"/>
        </w:rPr>
      </w:pPr>
      <w:bookmarkStart w:id="53" w:name="_Toc15396618"/>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pStyle w:val="2"/>
        <w:rPr>
          <w:rFonts w:hint="default" w:ascii="Times New Roman" w:hAnsi="Times New Roman" w:eastAsia="仿宋_GB2312" w:cs="Times New Roman"/>
          <w:color w:val="auto"/>
          <w:kern w:val="0"/>
          <w:sz w:val="32"/>
          <w:szCs w:val="32"/>
          <w:highlight w:val="none"/>
          <w:lang w:val="en-US" w:eastAsia="zh-CN" w:bidi="ar-SA"/>
        </w:rPr>
      </w:pPr>
    </w:p>
    <w:p>
      <w:pPr>
        <w:spacing w:line="600" w:lineRule="exact"/>
        <w:jc w:val="center"/>
        <w:outlineLvl w:val="0"/>
        <w:rPr>
          <w:rFonts w:hint="default" w:ascii="Times New Roman" w:hAnsi="Times New Roman" w:eastAsia="仿宋" w:cs="Times New Roman"/>
          <w:b w:val="0"/>
          <w:color w:val="auto"/>
          <w:highlight w:val="none"/>
        </w:rPr>
      </w:pPr>
      <w:r>
        <w:rPr>
          <w:rFonts w:hint="default" w:ascii="Times New Roman" w:hAnsi="Times New Roman" w:eastAsia="黑体" w:cs="Times New Roman"/>
          <w:color w:val="auto"/>
          <w:sz w:val="44"/>
          <w:szCs w:val="44"/>
          <w:highlight w:val="none"/>
        </w:rPr>
        <w:t>第</w:t>
      </w:r>
      <w:r>
        <w:rPr>
          <w:rStyle w:val="24"/>
          <w:rFonts w:hint="default" w:ascii="Times New Roman" w:hAnsi="Times New Roman" w:eastAsia="黑体" w:cs="Times New Roman"/>
          <w:b w:val="0"/>
          <w:color w:val="auto"/>
          <w:highlight w:val="none"/>
        </w:rPr>
        <w:t>五部分 附表</w:t>
      </w:r>
      <w:bookmarkEnd w:id="52"/>
      <w:bookmarkEnd w:id="53"/>
      <w:bookmarkStart w:id="54" w:name="_Toc15396619"/>
    </w:p>
    <w:p>
      <w:pPr>
        <w:pStyle w:val="4"/>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color w:val="auto"/>
          <w:highlight w:val="none"/>
        </w:rPr>
        <w:t>一、收</w:t>
      </w:r>
      <w:r>
        <w:rPr>
          <w:rStyle w:val="25"/>
          <w:rFonts w:hint="default" w:ascii="Times New Roman" w:hAnsi="Times New Roman" w:eastAsia="仿宋_GB2312" w:cs="Times New Roman"/>
          <w:b w:val="0"/>
          <w:bCs w:val="0"/>
          <w:color w:val="auto"/>
          <w:highlight w:val="none"/>
        </w:rPr>
        <w:t>入支出决算总表</w:t>
      </w:r>
      <w:bookmarkEnd w:id="54"/>
    </w:p>
    <w:p>
      <w:pPr>
        <w:pStyle w:val="4"/>
        <w:rPr>
          <w:rFonts w:hint="default" w:ascii="Times New Roman" w:hAnsi="Times New Roman" w:eastAsia="仿宋_GB2312" w:cs="Times New Roman"/>
          <w:color w:val="auto"/>
          <w:highlight w:val="none"/>
        </w:rPr>
      </w:pPr>
      <w:bookmarkStart w:id="55" w:name="_Toc15396620"/>
      <w:r>
        <w:rPr>
          <w:rFonts w:hint="default" w:ascii="Times New Roman" w:hAnsi="Times New Roman" w:eastAsia="仿宋_GB2312" w:cs="Times New Roman"/>
          <w:b w:val="0"/>
          <w:color w:val="auto"/>
          <w:highlight w:val="none"/>
        </w:rPr>
        <w:t>二、收</w:t>
      </w:r>
      <w:r>
        <w:rPr>
          <w:rStyle w:val="25"/>
          <w:rFonts w:hint="default" w:ascii="Times New Roman" w:hAnsi="Times New Roman" w:eastAsia="仿宋_GB2312" w:cs="Times New Roman"/>
          <w:b w:val="0"/>
          <w:bCs w:val="0"/>
          <w:color w:val="auto"/>
          <w:highlight w:val="none"/>
        </w:rPr>
        <w:t>入决算表</w:t>
      </w:r>
      <w:bookmarkEnd w:id="55"/>
    </w:p>
    <w:p>
      <w:pPr>
        <w:pStyle w:val="4"/>
        <w:rPr>
          <w:rFonts w:hint="default" w:ascii="Times New Roman" w:hAnsi="Times New Roman" w:eastAsia="仿宋_GB2312" w:cs="Times New Roman"/>
          <w:color w:val="auto"/>
          <w:highlight w:val="none"/>
        </w:rPr>
      </w:pPr>
      <w:bookmarkStart w:id="56" w:name="_Toc15396621"/>
      <w:r>
        <w:rPr>
          <w:rStyle w:val="25"/>
          <w:rFonts w:hint="default" w:ascii="Times New Roman" w:hAnsi="Times New Roman" w:eastAsia="仿宋_GB2312" w:cs="Times New Roman"/>
          <w:b w:val="0"/>
          <w:bCs w:val="0"/>
          <w:color w:val="auto"/>
          <w:highlight w:val="none"/>
        </w:rPr>
        <w:t>三、</w:t>
      </w:r>
      <w:r>
        <w:rPr>
          <w:rFonts w:hint="default" w:ascii="Times New Roman" w:hAnsi="Times New Roman" w:eastAsia="仿宋_GB2312" w:cs="Times New Roman"/>
          <w:b w:val="0"/>
          <w:color w:val="auto"/>
          <w:highlight w:val="none"/>
        </w:rPr>
        <w:t>支</w:t>
      </w:r>
      <w:r>
        <w:rPr>
          <w:rStyle w:val="25"/>
          <w:rFonts w:hint="default" w:ascii="Times New Roman" w:hAnsi="Times New Roman" w:eastAsia="仿宋_GB2312" w:cs="Times New Roman"/>
          <w:b w:val="0"/>
          <w:bCs w:val="0"/>
          <w:color w:val="auto"/>
          <w:highlight w:val="none"/>
        </w:rPr>
        <w:t>出决算表</w:t>
      </w:r>
      <w:bookmarkEnd w:id="56"/>
    </w:p>
    <w:p>
      <w:pPr>
        <w:pStyle w:val="4"/>
        <w:rPr>
          <w:rFonts w:hint="default" w:ascii="Times New Roman" w:hAnsi="Times New Roman" w:eastAsia="仿宋_GB2312" w:cs="Times New Roman"/>
          <w:b w:val="0"/>
          <w:color w:val="auto"/>
          <w:highlight w:val="none"/>
        </w:rPr>
      </w:pPr>
      <w:bookmarkStart w:id="57" w:name="_Toc15396622"/>
      <w:r>
        <w:rPr>
          <w:rStyle w:val="25"/>
          <w:rFonts w:hint="default" w:ascii="Times New Roman" w:hAnsi="Times New Roman" w:eastAsia="仿宋_GB2312" w:cs="Times New Roman"/>
          <w:b w:val="0"/>
          <w:bCs w:val="0"/>
          <w:color w:val="auto"/>
          <w:highlight w:val="none"/>
        </w:rPr>
        <w:t>四、</w:t>
      </w:r>
      <w:r>
        <w:rPr>
          <w:rFonts w:hint="default" w:ascii="Times New Roman" w:hAnsi="Times New Roman" w:eastAsia="仿宋_GB2312" w:cs="Times New Roman"/>
          <w:b w:val="0"/>
          <w:color w:val="auto"/>
          <w:highlight w:val="none"/>
        </w:rPr>
        <w:t>财</w:t>
      </w:r>
      <w:r>
        <w:rPr>
          <w:rStyle w:val="25"/>
          <w:rFonts w:hint="default" w:ascii="Times New Roman" w:hAnsi="Times New Roman" w:eastAsia="仿宋_GB2312" w:cs="Times New Roman"/>
          <w:b w:val="0"/>
          <w:bCs w:val="0"/>
          <w:color w:val="auto"/>
          <w:highlight w:val="none"/>
        </w:rPr>
        <w:t>政拨款收入支出决算总表</w:t>
      </w:r>
      <w:bookmarkEnd w:id="57"/>
    </w:p>
    <w:p>
      <w:pPr>
        <w:pStyle w:val="4"/>
        <w:rPr>
          <w:rStyle w:val="25"/>
          <w:rFonts w:hint="default" w:ascii="Times New Roman" w:hAnsi="Times New Roman" w:eastAsia="仿宋_GB2312" w:cs="Times New Roman"/>
          <w:b w:val="0"/>
          <w:bCs w:val="0"/>
          <w:color w:val="auto"/>
          <w:highlight w:val="none"/>
        </w:rPr>
      </w:pPr>
      <w:bookmarkStart w:id="58" w:name="_Toc15396623"/>
      <w:r>
        <w:rPr>
          <w:rStyle w:val="25"/>
          <w:rFonts w:hint="default" w:ascii="Times New Roman" w:hAnsi="Times New Roman" w:eastAsia="仿宋_GB2312" w:cs="Times New Roman"/>
          <w:b w:val="0"/>
          <w:bCs w:val="0"/>
          <w:color w:val="auto"/>
          <w:highlight w:val="none"/>
        </w:rPr>
        <w:t>五、</w:t>
      </w:r>
      <w:r>
        <w:rPr>
          <w:rFonts w:hint="default" w:ascii="Times New Roman" w:hAnsi="Times New Roman" w:eastAsia="仿宋_GB2312" w:cs="Times New Roman"/>
          <w:b w:val="0"/>
          <w:color w:val="auto"/>
          <w:highlight w:val="none"/>
        </w:rPr>
        <w:t>财</w:t>
      </w:r>
      <w:r>
        <w:rPr>
          <w:rStyle w:val="25"/>
          <w:rFonts w:hint="default" w:ascii="Times New Roman" w:hAnsi="Times New Roman" w:eastAsia="仿宋_GB2312" w:cs="Times New Roman"/>
          <w:b w:val="0"/>
          <w:bCs w:val="0"/>
          <w:color w:val="auto"/>
          <w:highlight w:val="none"/>
        </w:rPr>
        <w:t>政拨款支出决算明细表</w:t>
      </w:r>
      <w:bookmarkEnd w:id="58"/>
      <w:bookmarkStart w:id="59" w:name="_Toc15396624"/>
    </w:p>
    <w:p>
      <w:pPr>
        <w:pStyle w:val="4"/>
        <w:rPr>
          <w:rFonts w:hint="default" w:ascii="Times New Roman" w:hAnsi="Times New Roman" w:eastAsia="仿宋_GB2312" w:cs="Times New Roman"/>
          <w:color w:val="auto"/>
          <w:highlight w:val="none"/>
        </w:rPr>
      </w:pPr>
      <w:r>
        <w:rPr>
          <w:rStyle w:val="25"/>
          <w:rFonts w:hint="default" w:ascii="Times New Roman" w:hAnsi="Times New Roman" w:eastAsia="仿宋_GB2312" w:cs="Times New Roman"/>
          <w:b w:val="0"/>
          <w:bCs w:val="0"/>
          <w:color w:val="auto"/>
          <w:highlight w:val="none"/>
        </w:rPr>
        <w:t>六、</w:t>
      </w:r>
      <w:r>
        <w:rPr>
          <w:rFonts w:hint="default" w:ascii="Times New Roman" w:hAnsi="Times New Roman" w:eastAsia="仿宋_GB2312" w:cs="Times New Roman"/>
          <w:b w:val="0"/>
          <w:color w:val="auto"/>
          <w:highlight w:val="none"/>
        </w:rPr>
        <w:t>一</w:t>
      </w:r>
      <w:r>
        <w:rPr>
          <w:rStyle w:val="25"/>
          <w:rFonts w:hint="default" w:ascii="Times New Roman" w:hAnsi="Times New Roman" w:eastAsia="仿宋_GB2312" w:cs="Times New Roman"/>
          <w:b w:val="0"/>
          <w:bCs w:val="0"/>
          <w:color w:val="auto"/>
          <w:highlight w:val="none"/>
        </w:rPr>
        <w:t>般公共预算财政拨款支出决算表</w:t>
      </w:r>
      <w:bookmarkEnd w:id="59"/>
    </w:p>
    <w:p>
      <w:pPr>
        <w:pStyle w:val="4"/>
        <w:rPr>
          <w:rFonts w:hint="default" w:ascii="Times New Roman" w:hAnsi="Times New Roman" w:eastAsia="仿宋_GB2312" w:cs="Times New Roman"/>
          <w:color w:val="auto"/>
          <w:highlight w:val="none"/>
        </w:rPr>
      </w:pPr>
      <w:bookmarkStart w:id="60" w:name="_Toc15396625"/>
      <w:r>
        <w:rPr>
          <w:rStyle w:val="25"/>
          <w:rFonts w:hint="default" w:ascii="Times New Roman" w:hAnsi="Times New Roman" w:eastAsia="仿宋_GB2312" w:cs="Times New Roman"/>
          <w:b w:val="0"/>
          <w:bCs w:val="0"/>
          <w:color w:val="auto"/>
          <w:highlight w:val="none"/>
        </w:rPr>
        <w:t>七、</w:t>
      </w:r>
      <w:r>
        <w:rPr>
          <w:rFonts w:hint="default" w:ascii="Times New Roman" w:hAnsi="Times New Roman" w:eastAsia="仿宋_GB2312" w:cs="Times New Roman"/>
          <w:b w:val="0"/>
          <w:color w:val="auto"/>
          <w:highlight w:val="none"/>
        </w:rPr>
        <w:t>一</w:t>
      </w:r>
      <w:r>
        <w:rPr>
          <w:rStyle w:val="25"/>
          <w:rFonts w:hint="default" w:ascii="Times New Roman" w:hAnsi="Times New Roman" w:eastAsia="仿宋_GB2312" w:cs="Times New Roman"/>
          <w:b w:val="0"/>
          <w:bCs w:val="0"/>
          <w:color w:val="auto"/>
          <w:highlight w:val="none"/>
        </w:rPr>
        <w:t>般公共预算财政拨款支出决算明细表</w:t>
      </w:r>
      <w:bookmarkEnd w:id="60"/>
    </w:p>
    <w:p>
      <w:pPr>
        <w:pStyle w:val="4"/>
        <w:rPr>
          <w:rFonts w:hint="default" w:ascii="Times New Roman" w:hAnsi="Times New Roman" w:eastAsia="仿宋_GB2312" w:cs="Times New Roman"/>
          <w:color w:val="auto"/>
          <w:highlight w:val="none"/>
        </w:rPr>
      </w:pPr>
      <w:bookmarkStart w:id="61" w:name="_Toc15396626"/>
      <w:r>
        <w:rPr>
          <w:rStyle w:val="25"/>
          <w:rFonts w:hint="default" w:ascii="Times New Roman" w:hAnsi="Times New Roman" w:eastAsia="仿宋_GB2312" w:cs="Times New Roman"/>
          <w:b w:val="0"/>
          <w:bCs w:val="0"/>
          <w:color w:val="auto"/>
          <w:highlight w:val="none"/>
        </w:rPr>
        <w:t>八、</w:t>
      </w:r>
      <w:r>
        <w:rPr>
          <w:rFonts w:hint="default" w:ascii="Times New Roman" w:hAnsi="Times New Roman" w:eastAsia="仿宋_GB2312" w:cs="Times New Roman"/>
          <w:b w:val="0"/>
          <w:color w:val="auto"/>
          <w:highlight w:val="none"/>
        </w:rPr>
        <w:t>一</w:t>
      </w:r>
      <w:r>
        <w:rPr>
          <w:rStyle w:val="25"/>
          <w:rFonts w:hint="default" w:ascii="Times New Roman" w:hAnsi="Times New Roman" w:eastAsia="仿宋_GB2312" w:cs="Times New Roman"/>
          <w:b w:val="0"/>
          <w:bCs w:val="0"/>
          <w:color w:val="auto"/>
          <w:highlight w:val="none"/>
        </w:rPr>
        <w:t>般公共预算财政拨款基本支出决算表</w:t>
      </w:r>
      <w:bookmarkEnd w:id="61"/>
    </w:p>
    <w:p>
      <w:pPr>
        <w:pStyle w:val="4"/>
        <w:rPr>
          <w:rFonts w:hint="default" w:ascii="Times New Roman" w:hAnsi="Times New Roman" w:eastAsia="仿宋_GB2312" w:cs="Times New Roman"/>
          <w:color w:val="auto"/>
          <w:highlight w:val="none"/>
        </w:rPr>
      </w:pPr>
      <w:bookmarkStart w:id="62" w:name="_Toc15396627"/>
      <w:r>
        <w:rPr>
          <w:rStyle w:val="25"/>
          <w:rFonts w:hint="default" w:ascii="Times New Roman" w:hAnsi="Times New Roman" w:eastAsia="仿宋_GB2312" w:cs="Times New Roman"/>
          <w:b w:val="0"/>
          <w:bCs w:val="0"/>
          <w:color w:val="auto"/>
          <w:highlight w:val="none"/>
        </w:rPr>
        <w:t>九、</w:t>
      </w:r>
      <w:r>
        <w:rPr>
          <w:rFonts w:hint="default" w:ascii="Times New Roman" w:hAnsi="Times New Roman" w:eastAsia="仿宋_GB2312" w:cs="Times New Roman"/>
          <w:b w:val="0"/>
          <w:color w:val="auto"/>
          <w:highlight w:val="none"/>
        </w:rPr>
        <w:t>一</w:t>
      </w:r>
      <w:r>
        <w:rPr>
          <w:rStyle w:val="25"/>
          <w:rFonts w:hint="default" w:ascii="Times New Roman" w:hAnsi="Times New Roman" w:eastAsia="仿宋_GB2312" w:cs="Times New Roman"/>
          <w:b w:val="0"/>
          <w:bCs w:val="0"/>
          <w:color w:val="auto"/>
          <w:highlight w:val="none"/>
        </w:rPr>
        <w:t>般公共预算财政拨款项目支出决算表</w:t>
      </w:r>
      <w:bookmarkEnd w:id="62"/>
    </w:p>
    <w:p>
      <w:pPr>
        <w:pStyle w:val="4"/>
        <w:rPr>
          <w:rFonts w:hint="default" w:ascii="Times New Roman" w:hAnsi="Times New Roman" w:eastAsia="仿宋_GB2312" w:cs="Times New Roman"/>
          <w:color w:val="auto"/>
          <w:highlight w:val="none"/>
        </w:rPr>
      </w:pPr>
      <w:bookmarkStart w:id="63" w:name="_Toc15396628"/>
      <w:r>
        <w:rPr>
          <w:rStyle w:val="25"/>
          <w:rFonts w:hint="default" w:ascii="Times New Roman" w:hAnsi="Times New Roman" w:eastAsia="仿宋_GB2312" w:cs="Times New Roman"/>
          <w:b w:val="0"/>
          <w:bCs w:val="0"/>
          <w:color w:val="auto"/>
          <w:highlight w:val="none"/>
        </w:rPr>
        <w:t>十、</w:t>
      </w:r>
      <w:bookmarkEnd w:id="63"/>
      <w:r>
        <w:rPr>
          <w:rFonts w:hint="default" w:ascii="Times New Roman" w:hAnsi="Times New Roman" w:eastAsia="仿宋_GB2312" w:cs="Times New Roman"/>
          <w:b w:val="0"/>
          <w:color w:val="auto"/>
          <w:highlight w:val="none"/>
        </w:rPr>
        <w:t>政</w:t>
      </w:r>
      <w:r>
        <w:rPr>
          <w:rStyle w:val="25"/>
          <w:rFonts w:hint="default" w:ascii="Times New Roman" w:hAnsi="Times New Roman" w:eastAsia="仿宋_GB2312" w:cs="Times New Roman"/>
          <w:b w:val="0"/>
          <w:bCs w:val="0"/>
          <w:color w:val="auto"/>
          <w:highlight w:val="none"/>
        </w:rPr>
        <w:t>府性基金预算财政拨款收入支出决算表</w:t>
      </w:r>
    </w:p>
    <w:p>
      <w:pPr>
        <w:pStyle w:val="4"/>
        <w:rPr>
          <w:rFonts w:hint="default" w:ascii="Times New Roman" w:hAnsi="Times New Roman" w:eastAsia="仿宋_GB2312" w:cs="Times New Roman"/>
          <w:color w:val="auto"/>
          <w:highlight w:val="none"/>
        </w:rPr>
      </w:pPr>
      <w:bookmarkStart w:id="64" w:name="_Toc15396629"/>
      <w:r>
        <w:rPr>
          <w:rStyle w:val="25"/>
          <w:rFonts w:hint="default" w:ascii="Times New Roman" w:hAnsi="Times New Roman" w:eastAsia="仿宋_GB2312" w:cs="Times New Roman"/>
          <w:b w:val="0"/>
          <w:bCs w:val="0"/>
          <w:color w:val="auto"/>
          <w:highlight w:val="none"/>
        </w:rPr>
        <w:t>十一、</w:t>
      </w:r>
      <w:bookmarkEnd w:id="64"/>
      <w:r>
        <w:rPr>
          <w:rFonts w:hint="default" w:ascii="Times New Roman" w:hAnsi="Times New Roman" w:eastAsia="仿宋_GB2312" w:cs="Times New Roman"/>
          <w:b w:val="0"/>
          <w:color w:val="auto"/>
          <w:highlight w:val="none"/>
        </w:rPr>
        <w:t>国</w:t>
      </w:r>
      <w:r>
        <w:rPr>
          <w:rStyle w:val="25"/>
          <w:rFonts w:hint="default" w:ascii="Times New Roman" w:hAnsi="Times New Roman" w:eastAsia="仿宋_GB2312" w:cs="Times New Roman"/>
          <w:b w:val="0"/>
          <w:bCs w:val="0"/>
          <w:color w:val="auto"/>
          <w:highlight w:val="none"/>
        </w:rPr>
        <w:t>有资本经营预算</w:t>
      </w:r>
      <w:r>
        <w:rPr>
          <w:rStyle w:val="25"/>
          <w:rFonts w:hint="default" w:ascii="Times New Roman" w:hAnsi="Times New Roman" w:eastAsia="仿宋_GB2312" w:cs="Times New Roman"/>
          <w:b w:val="0"/>
          <w:bCs w:val="0"/>
          <w:color w:val="auto"/>
          <w:highlight w:val="none"/>
          <w:lang w:eastAsia="zh-CN"/>
        </w:rPr>
        <w:t>财政拨款收入</w:t>
      </w:r>
      <w:r>
        <w:rPr>
          <w:rStyle w:val="25"/>
          <w:rFonts w:hint="default" w:ascii="Times New Roman" w:hAnsi="Times New Roman" w:eastAsia="仿宋_GB2312" w:cs="Times New Roman"/>
          <w:b w:val="0"/>
          <w:bCs w:val="0"/>
          <w:color w:val="auto"/>
          <w:highlight w:val="none"/>
        </w:rPr>
        <w:t>支出决算表</w:t>
      </w:r>
    </w:p>
    <w:p>
      <w:pPr>
        <w:pStyle w:val="4"/>
        <w:rPr>
          <w:rFonts w:hint="default" w:ascii="Times New Roman" w:hAnsi="Times New Roman" w:eastAsia="仿宋_GB2312" w:cs="Times New Roman"/>
          <w:color w:val="auto"/>
          <w:highlight w:val="none"/>
        </w:rPr>
      </w:pPr>
      <w:bookmarkStart w:id="65" w:name="_Toc15396630"/>
      <w:r>
        <w:rPr>
          <w:rStyle w:val="25"/>
          <w:rFonts w:hint="default" w:ascii="Times New Roman" w:hAnsi="Times New Roman" w:eastAsia="仿宋_GB2312" w:cs="Times New Roman"/>
          <w:b w:val="0"/>
          <w:bCs w:val="0"/>
          <w:color w:val="auto"/>
          <w:highlight w:val="none"/>
        </w:rPr>
        <w:t>十二、</w:t>
      </w:r>
      <w:bookmarkEnd w:id="65"/>
      <w:r>
        <w:rPr>
          <w:rStyle w:val="25"/>
          <w:rFonts w:hint="default" w:ascii="Times New Roman" w:hAnsi="Times New Roman" w:eastAsia="仿宋_GB2312" w:cs="Times New Roman"/>
          <w:b w:val="0"/>
          <w:bCs w:val="0"/>
          <w:color w:val="auto"/>
          <w:highlight w:val="none"/>
          <w:lang w:eastAsia="zh-CN"/>
        </w:rPr>
        <w:t>国有资本经营预算财政拨款支出决算表</w:t>
      </w:r>
    </w:p>
    <w:p>
      <w:pPr>
        <w:pStyle w:val="4"/>
        <w:rPr>
          <w:rFonts w:hint="default" w:ascii="Times New Roman" w:hAnsi="Times New Roman" w:eastAsia="仿宋_GB2312" w:cs="Times New Roman"/>
          <w:color w:val="auto"/>
          <w:highlight w:val="none"/>
          <w:lang w:eastAsia="zh-CN"/>
        </w:rPr>
      </w:pPr>
      <w:bookmarkStart w:id="66" w:name="_Toc15396631"/>
      <w:r>
        <w:rPr>
          <w:rStyle w:val="25"/>
          <w:rFonts w:hint="default" w:ascii="Times New Roman" w:hAnsi="Times New Roman" w:eastAsia="仿宋_GB2312" w:cs="Times New Roman"/>
          <w:b w:val="0"/>
          <w:bCs w:val="0"/>
          <w:color w:val="auto"/>
          <w:highlight w:val="none"/>
        </w:rPr>
        <w:t>十三、</w:t>
      </w:r>
      <w:bookmarkEnd w:id="66"/>
      <w:r>
        <w:rPr>
          <w:rStyle w:val="25"/>
          <w:rFonts w:hint="default" w:ascii="Times New Roman" w:hAnsi="Times New Roman" w:eastAsia="仿宋_GB2312" w:cs="Times New Roman"/>
          <w:b w:val="0"/>
          <w:bCs w:val="0"/>
          <w:color w:val="auto"/>
          <w:highlight w:val="none"/>
          <w:lang w:eastAsia="zh-CN"/>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NanumGothic">
    <w:panose1 w:val="020D0604000000000000"/>
    <w:charset w:val="81"/>
    <w:family w:val="auto"/>
    <w:pitch w:val="default"/>
    <w:sig w:usb0="900002A7" w:usb1="29D7FCFB" w:usb2="00000010" w:usb3="00000000" w:csb0="0008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jNjYwODU3NTZhNmQxZTE5ODc0NThjMGVmNjA4Zm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A2032A3"/>
    <w:rsid w:val="0B8A37D8"/>
    <w:rsid w:val="0CDF9407"/>
    <w:rsid w:val="0FFA0BDA"/>
    <w:rsid w:val="10C055FF"/>
    <w:rsid w:val="118107EC"/>
    <w:rsid w:val="11DD6519"/>
    <w:rsid w:val="11F7C328"/>
    <w:rsid w:val="16BB723D"/>
    <w:rsid w:val="18015F3F"/>
    <w:rsid w:val="1B7BF724"/>
    <w:rsid w:val="1BE61AD8"/>
    <w:rsid w:val="1BE8440E"/>
    <w:rsid w:val="1BFCA53B"/>
    <w:rsid w:val="1D155CEE"/>
    <w:rsid w:val="1FB5552B"/>
    <w:rsid w:val="20F57F95"/>
    <w:rsid w:val="240371BF"/>
    <w:rsid w:val="25711CC6"/>
    <w:rsid w:val="25C741E6"/>
    <w:rsid w:val="27842671"/>
    <w:rsid w:val="29F78F81"/>
    <w:rsid w:val="29FD04D3"/>
    <w:rsid w:val="2ABE7A3E"/>
    <w:rsid w:val="2B17C440"/>
    <w:rsid w:val="2CA234A8"/>
    <w:rsid w:val="2CF6F2E8"/>
    <w:rsid w:val="2E764F85"/>
    <w:rsid w:val="2EF7CDB5"/>
    <w:rsid w:val="2EFA178C"/>
    <w:rsid w:val="2FE50B43"/>
    <w:rsid w:val="30B46D73"/>
    <w:rsid w:val="319F7F4E"/>
    <w:rsid w:val="35ED19CA"/>
    <w:rsid w:val="36BFB667"/>
    <w:rsid w:val="377BD558"/>
    <w:rsid w:val="377E3DAB"/>
    <w:rsid w:val="377F9719"/>
    <w:rsid w:val="377F9BFF"/>
    <w:rsid w:val="37EB15BC"/>
    <w:rsid w:val="37FD3D8E"/>
    <w:rsid w:val="37FFABC0"/>
    <w:rsid w:val="383D272C"/>
    <w:rsid w:val="397D963F"/>
    <w:rsid w:val="39AE70AB"/>
    <w:rsid w:val="3B667024"/>
    <w:rsid w:val="3B6F0269"/>
    <w:rsid w:val="3B7E6F4E"/>
    <w:rsid w:val="3C0C0783"/>
    <w:rsid w:val="3EB77EBF"/>
    <w:rsid w:val="3EC343D6"/>
    <w:rsid w:val="3F5B4689"/>
    <w:rsid w:val="3F778EF3"/>
    <w:rsid w:val="3F9F3A96"/>
    <w:rsid w:val="3FB30B03"/>
    <w:rsid w:val="3FB6CC01"/>
    <w:rsid w:val="3FF70455"/>
    <w:rsid w:val="3FFB867C"/>
    <w:rsid w:val="48BF60AB"/>
    <w:rsid w:val="49351227"/>
    <w:rsid w:val="493C27E9"/>
    <w:rsid w:val="496F39ED"/>
    <w:rsid w:val="49FF41D3"/>
    <w:rsid w:val="4BDF368B"/>
    <w:rsid w:val="4BE068DB"/>
    <w:rsid w:val="4BF6002B"/>
    <w:rsid w:val="4C4B415A"/>
    <w:rsid w:val="4ECE2238"/>
    <w:rsid w:val="4FEF10B3"/>
    <w:rsid w:val="51DB4B86"/>
    <w:rsid w:val="53BEE06B"/>
    <w:rsid w:val="54FFA947"/>
    <w:rsid w:val="55333C3E"/>
    <w:rsid w:val="55FECAD4"/>
    <w:rsid w:val="55FF9B01"/>
    <w:rsid w:val="5899C331"/>
    <w:rsid w:val="59E7F8B5"/>
    <w:rsid w:val="5B3B68B4"/>
    <w:rsid w:val="5DBE9EC8"/>
    <w:rsid w:val="5F3F5C2C"/>
    <w:rsid w:val="5FEA3D1F"/>
    <w:rsid w:val="5FF7B045"/>
    <w:rsid w:val="5FF93658"/>
    <w:rsid w:val="629551D1"/>
    <w:rsid w:val="62E27F88"/>
    <w:rsid w:val="64CA39A1"/>
    <w:rsid w:val="65DF5600"/>
    <w:rsid w:val="66FC39C9"/>
    <w:rsid w:val="67DD4F9B"/>
    <w:rsid w:val="69630ADE"/>
    <w:rsid w:val="698EA98D"/>
    <w:rsid w:val="6AF18B5B"/>
    <w:rsid w:val="6AFE41B6"/>
    <w:rsid w:val="6C4A05C8"/>
    <w:rsid w:val="6C77995F"/>
    <w:rsid w:val="6D3B1A89"/>
    <w:rsid w:val="6DEB12F7"/>
    <w:rsid w:val="6DFD9B47"/>
    <w:rsid w:val="6EFF1398"/>
    <w:rsid w:val="6FEEB998"/>
    <w:rsid w:val="6FF037D4"/>
    <w:rsid w:val="6FFCB890"/>
    <w:rsid w:val="6FFE0E7C"/>
    <w:rsid w:val="6FFE68EA"/>
    <w:rsid w:val="6FFEE7CA"/>
    <w:rsid w:val="71BF4EC2"/>
    <w:rsid w:val="71F3EF5D"/>
    <w:rsid w:val="72734D90"/>
    <w:rsid w:val="72EA27AD"/>
    <w:rsid w:val="73ED5DA0"/>
    <w:rsid w:val="7412278C"/>
    <w:rsid w:val="74DC1ED7"/>
    <w:rsid w:val="75FB7171"/>
    <w:rsid w:val="773EF67A"/>
    <w:rsid w:val="77BB9ACD"/>
    <w:rsid w:val="77DDFE4B"/>
    <w:rsid w:val="77F6650E"/>
    <w:rsid w:val="78BB6D35"/>
    <w:rsid w:val="78FFB4DB"/>
    <w:rsid w:val="79E7B28D"/>
    <w:rsid w:val="79F57761"/>
    <w:rsid w:val="7A2E4F3C"/>
    <w:rsid w:val="7A5E2334"/>
    <w:rsid w:val="7BB92C15"/>
    <w:rsid w:val="7BEEDE88"/>
    <w:rsid w:val="7BEF7CA1"/>
    <w:rsid w:val="7CF62926"/>
    <w:rsid w:val="7D775E94"/>
    <w:rsid w:val="7D7FC08F"/>
    <w:rsid w:val="7DED2E50"/>
    <w:rsid w:val="7DF64166"/>
    <w:rsid w:val="7DFFC56F"/>
    <w:rsid w:val="7EF9243F"/>
    <w:rsid w:val="7F3FBA1A"/>
    <w:rsid w:val="7F8FEC30"/>
    <w:rsid w:val="7F9F20EE"/>
    <w:rsid w:val="7FBBED5E"/>
    <w:rsid w:val="7FBE0D39"/>
    <w:rsid w:val="7FBF485D"/>
    <w:rsid w:val="7FDF9DB8"/>
    <w:rsid w:val="7FE76BB5"/>
    <w:rsid w:val="7FF234F7"/>
    <w:rsid w:val="7FFBAEC5"/>
    <w:rsid w:val="7FFBD127"/>
    <w:rsid w:val="7FFBE111"/>
    <w:rsid w:val="7FFD55C7"/>
    <w:rsid w:val="7FFD7FA6"/>
    <w:rsid w:val="7FFF015D"/>
    <w:rsid w:val="7FFF4FF4"/>
    <w:rsid w:val="8BF97100"/>
    <w:rsid w:val="9E3A10E2"/>
    <w:rsid w:val="ADFFF344"/>
    <w:rsid w:val="AEFBB531"/>
    <w:rsid w:val="AFB56CF1"/>
    <w:rsid w:val="B6F8FAC8"/>
    <w:rsid w:val="B77BBB35"/>
    <w:rsid w:val="BB2BDAF8"/>
    <w:rsid w:val="BBF71AB1"/>
    <w:rsid w:val="BBF8397C"/>
    <w:rsid w:val="BBFF9BD2"/>
    <w:rsid w:val="BCDFC96B"/>
    <w:rsid w:val="BCE81D11"/>
    <w:rsid w:val="BDDEA74E"/>
    <w:rsid w:val="BDFCF611"/>
    <w:rsid w:val="BF7B7374"/>
    <w:rsid w:val="BFCF5D98"/>
    <w:rsid w:val="BFE72140"/>
    <w:rsid w:val="BFF55418"/>
    <w:rsid w:val="BFF71CAC"/>
    <w:rsid w:val="BFFE3BD6"/>
    <w:rsid w:val="CCF7F62C"/>
    <w:rsid w:val="CF772C6F"/>
    <w:rsid w:val="CF775751"/>
    <w:rsid w:val="CFB63576"/>
    <w:rsid w:val="CFBE152F"/>
    <w:rsid w:val="D1776829"/>
    <w:rsid w:val="D4E72D4D"/>
    <w:rsid w:val="DAFFD217"/>
    <w:rsid w:val="DBAFAA87"/>
    <w:rsid w:val="DE9B7FD3"/>
    <w:rsid w:val="DEDE5E98"/>
    <w:rsid w:val="DF7BC2F2"/>
    <w:rsid w:val="DFF524A3"/>
    <w:rsid w:val="DFFF47F9"/>
    <w:rsid w:val="E68FF67E"/>
    <w:rsid w:val="E73A0FAD"/>
    <w:rsid w:val="E7B73281"/>
    <w:rsid w:val="E7DBD559"/>
    <w:rsid w:val="E7DF3A67"/>
    <w:rsid w:val="E8FFFA52"/>
    <w:rsid w:val="E97E818A"/>
    <w:rsid w:val="EBE77A43"/>
    <w:rsid w:val="ED7ED4A3"/>
    <w:rsid w:val="EEEF853B"/>
    <w:rsid w:val="EF7F283B"/>
    <w:rsid w:val="EFBFF2F6"/>
    <w:rsid w:val="EFF7E2CE"/>
    <w:rsid w:val="F1DF0CA0"/>
    <w:rsid w:val="F29F2C66"/>
    <w:rsid w:val="F2E1F9D4"/>
    <w:rsid w:val="F35378E5"/>
    <w:rsid w:val="F53F1EA7"/>
    <w:rsid w:val="F5F740F0"/>
    <w:rsid w:val="F6BFAEF6"/>
    <w:rsid w:val="F7880819"/>
    <w:rsid w:val="F7DEA899"/>
    <w:rsid w:val="F7EC9FB2"/>
    <w:rsid w:val="F7F5F293"/>
    <w:rsid w:val="F7F772FF"/>
    <w:rsid w:val="F7F9E337"/>
    <w:rsid w:val="F8534A4D"/>
    <w:rsid w:val="F9D37EF9"/>
    <w:rsid w:val="FAE38ACB"/>
    <w:rsid w:val="FAFD7851"/>
    <w:rsid w:val="FB5F3922"/>
    <w:rsid w:val="FBADA386"/>
    <w:rsid w:val="FC9DF729"/>
    <w:rsid w:val="FD1D0E27"/>
    <w:rsid w:val="FDB76B97"/>
    <w:rsid w:val="FDBDA53B"/>
    <w:rsid w:val="FDBF6421"/>
    <w:rsid w:val="FE6F82D5"/>
    <w:rsid w:val="FEDC7FB2"/>
    <w:rsid w:val="FF6F5CD2"/>
    <w:rsid w:val="FF6F742D"/>
    <w:rsid w:val="FFD3475A"/>
    <w:rsid w:val="FFDD4702"/>
    <w:rsid w:val="FFDF6C6F"/>
    <w:rsid w:val="FFE5494C"/>
    <w:rsid w:val="FFEF8044"/>
    <w:rsid w:val="FFFFAB4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2"/>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3"/>
    <w:qFormat/>
    <w:uiPriority w:val="9"/>
    <w:rPr>
      <w:rFonts w:ascii="Times New Roman" w:hAnsi="Times New Roman"/>
      <w:b/>
      <w:bCs/>
      <w:kern w:val="44"/>
      <w:sz w:val="44"/>
      <w:szCs w:val="44"/>
    </w:rPr>
  </w:style>
  <w:style w:type="character" w:customStyle="1" w:styleId="25">
    <w:name w:val="标题 2 Char"/>
    <w:basedOn w:val="13"/>
    <w:link w:val="4"/>
    <w:qFormat/>
    <w:uiPriority w:val="9"/>
    <w:rPr>
      <w:rFonts w:asciiTheme="majorHAnsi" w:hAnsiTheme="majorHAnsi" w:eastAsiaTheme="majorEastAsia" w:cstheme="majorBidi"/>
      <w:b/>
      <w:bCs/>
      <w:kern w:val="2"/>
      <w:sz w:val="32"/>
      <w:szCs w:val="32"/>
    </w:rPr>
  </w:style>
  <w:style w:type="paragraph" w:customStyle="1" w:styleId="26">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5"/>
    <w:qFormat/>
    <w:uiPriority w:val="9"/>
    <w:rPr>
      <w:rFonts w:ascii="Times New Roman" w:hAnsi="Times New Roman"/>
      <w:b/>
      <w:bCs/>
      <w:kern w:val="2"/>
      <w:sz w:val="32"/>
      <w:szCs w:val="32"/>
    </w:rPr>
  </w:style>
  <w:style w:type="paragraph" w:customStyle="1" w:styleId="29">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0">
    <w:name w:val="NormalIndent"/>
    <w:basedOn w:val="1"/>
    <w:qFormat/>
    <w:uiPriority w:val="0"/>
    <w:pPr>
      <w:ind w:firstLine="420"/>
      <w:jc w:val="both"/>
      <w:textAlignment w:val="baseline"/>
    </w:pPr>
    <w:rPr>
      <w:rFonts w:ascii="Times New Roman" w:hAnsi="Times New Roman" w:eastAsia="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_rels/chart2.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Sheet1!$B$2</c:f>
              <c:numCache>
                <c:formatCode>General</c:formatCode>
                <c:ptCount val="1"/>
                <c:pt idx="0">
                  <c:v>971.95</c:v>
                </c:pt>
              </c:numCache>
            </c:numRef>
          </c:val>
        </c:ser>
        <c:ser>
          <c:idx val="1"/>
          <c:order val="1"/>
          <c:tx>
            <c:strRef>
              <c:f>Sheet1!$C$1</c:f>
              <c:strCache>
                <c:ptCount val="1"/>
                <c:pt idx="0">
                  <c:v>2022年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Sheet1!$C$2</c:f>
              <c:numCache>
                <c:formatCode>General</c:formatCode>
                <c:ptCount val="1"/>
                <c:pt idx="0">
                  <c:v>832.53</c:v>
                </c:pt>
              </c:numCache>
            </c:numRef>
          </c:val>
        </c:ser>
        <c:dLbls>
          <c:showLegendKey val="0"/>
          <c:showVal val="1"/>
          <c:showCatName val="0"/>
          <c:showSerName val="0"/>
          <c:showPercent val="0"/>
          <c:showBubbleSize val="0"/>
        </c:dLbls>
        <c:gapWidth val="219"/>
        <c:overlap val="-27"/>
        <c:axId val="44392607"/>
        <c:axId val="902098679"/>
      </c:barChart>
      <c:catAx>
        <c:axId val="44392607"/>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2098679"/>
        <c:crosses val="autoZero"/>
        <c:auto val="1"/>
        <c:lblAlgn val="ctr"/>
        <c:lblOffset val="100"/>
        <c:noMultiLvlLbl val="0"/>
      </c:catAx>
      <c:valAx>
        <c:axId val="90209867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4392607"/>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manualLayout>
          <c:layoutTarget val="inner"/>
          <c:xMode val="edge"/>
          <c:yMode val="edge"/>
          <c:x val="0.0036144578313253"/>
          <c:y val="0.011359333585763"/>
          <c:w val="0.945"/>
          <c:h val="0.760833333333333"/>
        </c:manualLayout>
      </c:layout>
      <c:pie3DChart>
        <c:varyColors val="1"/>
        <c:ser>
          <c:idx val="0"/>
          <c:order val="0"/>
          <c:tx>
            <c:strRef>
              <c:f>Sheet1!$B$1</c:f>
              <c:strCache>
                <c:ptCount val="1"/>
                <c:pt idx="0">
                  <c:v>2022</c:v>
                </c:pt>
              </c:strCache>
            </c:strRef>
          </c:tx>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一般公共财政拨款收入</c:v>
                </c:pt>
              </c:strCache>
            </c:strRef>
          </c:cat>
          <c:val>
            <c:numRef>
              <c:f>Sheet1!$B$2</c:f>
              <c:numCache>
                <c:formatCode>0%</c:formatCode>
                <c:ptCount val="1"/>
                <c:pt idx="0">
                  <c:v>1</c:v>
                </c:pt>
              </c:numCache>
            </c:numRef>
          </c:val>
        </c:ser>
        <c:dLbls>
          <c:showLegendKey val="0"/>
          <c:showVal val="1"/>
          <c:showCatName val="0"/>
          <c:showSerName val="0"/>
          <c:showPercent val="0"/>
          <c:showBubbleSize val="0"/>
        </c:dLbls>
      </c:pie3DChart>
      <c:spPr>
        <a:noFill/>
        <a:ln>
          <a:noFill/>
        </a:ln>
        <a:effectLst/>
      </c:spPr>
    </c:plotArea>
    <c:legend>
      <c:legendPos val="b"/>
      <c:layout>
        <c:manualLayout>
          <c:xMode val="edge"/>
          <c:yMode val="edge"/>
          <c:x val="0.297775395336371"/>
          <c:y val="0.874740663900415"/>
          <c:w val="0.374564459930314"/>
          <c:h val="0.090767634854771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manualLayout>
          <c:layoutTarget val="inner"/>
          <c:xMode val="edge"/>
          <c:yMode val="edge"/>
          <c:x val="0.0376259254763928"/>
          <c:y val="0.0449646232476745"/>
          <c:w val="0.946595460614152"/>
          <c:h val="0.691464201247044"/>
        </c:manualLayout>
      </c:layout>
      <c:pie3DChart>
        <c:varyColors val="1"/>
        <c:ser>
          <c:idx val="0"/>
          <c:order val="0"/>
          <c:tx>
            <c:strRef>
              <c:f>Sheet1!$B$1</c:f>
              <c:strCache>
                <c:ptCount val="1"/>
                <c:pt idx="0">
                  <c:v/>
                </c:pt>
              </c:strCache>
            </c:strRef>
          </c:tx>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0.7387</c:v>
                </c:pt>
                <c:pt idx="1">
                  <c:v>0.2613</c:v>
                </c:pt>
              </c:numCache>
            </c:numRef>
          </c:val>
        </c:ser>
        <c:dLbls>
          <c:showLegendKey val="0"/>
          <c:showVal val="0"/>
          <c:showCatName val="0"/>
          <c:showSerName val="0"/>
          <c:showPercent val="0"/>
          <c:showBubbleSize val="0"/>
        </c:dLbls>
      </c:pie3DChart>
      <c:spPr>
        <a:noFill/>
        <a:ln>
          <a:noFill/>
        </a:ln>
        <a:effectLst/>
      </c:spPr>
    </c:plotArea>
    <c:legend>
      <c:legendPos val="b"/>
      <c:layout>
        <c:manualLayout>
          <c:xMode val="edge"/>
          <c:yMode val="edge"/>
          <c:x val="0.293600096420393"/>
          <c:y val="0.790488431876607"/>
          <c:w val="0.401349885500783"/>
          <c:h val="0.099614395886889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752212389381"/>
          <c:y val="0.00805369127516779"/>
          <c:w val="0.880455120101138"/>
          <c:h val="0.748026845637584"/>
        </c:manualLayout>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Sheet1!$B$2</c:f>
              <c:numCache>
                <c:formatCode>General</c:formatCode>
                <c:ptCount val="1"/>
                <c:pt idx="0">
                  <c:v>971.95</c:v>
                </c:pt>
              </c:numCache>
            </c:numRef>
          </c:val>
        </c:ser>
        <c:ser>
          <c:idx val="1"/>
          <c:order val="1"/>
          <c:tx>
            <c:strRef>
              <c:f>Sheet1!$C$1</c:f>
              <c:strCache>
                <c:ptCount val="1"/>
                <c:pt idx="0">
                  <c:v>2022年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Sheet1!$C$2</c:f>
              <c:numCache>
                <c:formatCode>General</c:formatCode>
                <c:ptCount val="1"/>
                <c:pt idx="0">
                  <c:v>832.53</c:v>
                </c:pt>
              </c:numCache>
            </c:numRef>
          </c:val>
        </c:ser>
        <c:dLbls>
          <c:showLegendKey val="0"/>
          <c:showVal val="1"/>
          <c:showCatName val="0"/>
          <c:showSerName val="0"/>
          <c:showPercent val="0"/>
          <c:showBubbleSize val="0"/>
        </c:dLbls>
        <c:gapWidth val="219"/>
        <c:overlap val="-27"/>
        <c:axId val="44392607"/>
        <c:axId val="902098679"/>
      </c:barChart>
      <c:catAx>
        <c:axId val="44392607"/>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2098679"/>
        <c:crosses val="autoZero"/>
        <c:auto val="1"/>
        <c:lblAlgn val="ctr"/>
        <c:lblOffset val="100"/>
        <c:noMultiLvlLbl val="0"/>
      </c:catAx>
      <c:valAx>
        <c:axId val="90209867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4392607"/>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752212389381"/>
          <c:y val="0.00805369127516779"/>
          <c:w val="0.880455120101138"/>
          <c:h val="0.748026845637584"/>
        </c:manualLayout>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Sheet1!$B$2</c:f>
              <c:numCache>
                <c:formatCode>General</c:formatCode>
                <c:ptCount val="1"/>
                <c:pt idx="0">
                  <c:v>971.95</c:v>
                </c:pt>
              </c:numCache>
            </c:numRef>
          </c:val>
        </c:ser>
        <c:ser>
          <c:idx val="1"/>
          <c:order val="1"/>
          <c:tx>
            <c:strRef>
              <c:f>Sheet1!$C$1</c:f>
              <c:strCache>
                <c:ptCount val="1"/>
                <c:pt idx="0">
                  <c:v>2022年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Sheet1!$C$2</c:f>
              <c:numCache>
                <c:formatCode>General</c:formatCode>
                <c:ptCount val="1"/>
                <c:pt idx="0">
                  <c:v>832.53</c:v>
                </c:pt>
              </c:numCache>
            </c:numRef>
          </c:val>
        </c:ser>
        <c:dLbls>
          <c:showLegendKey val="0"/>
          <c:showVal val="1"/>
          <c:showCatName val="0"/>
          <c:showSerName val="0"/>
          <c:showPercent val="0"/>
          <c:showBubbleSize val="0"/>
        </c:dLbls>
        <c:gapWidth val="219"/>
        <c:overlap val="-27"/>
        <c:axId val="44392607"/>
        <c:axId val="902098679"/>
      </c:barChart>
      <c:catAx>
        <c:axId val="44392607"/>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2098679"/>
        <c:crosses val="autoZero"/>
        <c:auto val="1"/>
        <c:lblAlgn val="ctr"/>
        <c:lblOffset val="100"/>
        <c:noMultiLvlLbl val="0"/>
      </c:catAx>
      <c:valAx>
        <c:axId val="90209867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4392607"/>
        <c:crosses val="autoZero"/>
        <c:crossBetween val="between"/>
      </c:valAx>
      <c:spPr>
        <a:noFill/>
        <a:ln>
          <a:noFill/>
        </a:ln>
        <a:effectLst/>
      </c:spPr>
    </c:plotArea>
    <c:legend>
      <c:legendPos val="b"/>
      <c:layout>
        <c:manualLayout>
          <c:xMode val="edge"/>
          <c:yMode val="edge"/>
          <c:x val="0.390030395136778"/>
          <c:y val="0.872788542544229"/>
          <c:w val="0.357811550151976"/>
          <c:h val="0.089581578208368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manualLayout>
          <c:layoutTarget val="inner"/>
          <c:xMode val="edge"/>
          <c:yMode val="edge"/>
          <c:x val="0.0832034528234025"/>
          <c:y val="0.105152154263332"/>
          <c:w val="0.863445630020381"/>
          <c:h val="0.684844832780958"/>
        </c:manualLayout>
      </c:layout>
      <c:pie3DChart>
        <c:varyColors val="1"/>
        <c:ser>
          <c:idx val="0"/>
          <c:order val="0"/>
          <c:tx>
            <c:strRef>
              <c:f>Sheet1!$B$1</c:f>
              <c:strCache>
                <c:ptCount val="1"/>
                <c:pt idx="0">
                  <c:v/>
                </c:pt>
              </c:strCache>
            </c:strRef>
          </c:tx>
          <c:spPr>
            <a:scene3d>
              <a:camera prst="orthographicFront"/>
              <a:lightRig rig="threePt" dir="t"/>
            </a:scene3d>
            <a:sp3d contourW="25400"/>
          </c:spPr>
          <c:explosion val="0"/>
          <c:dPt>
            <c:idx val="0"/>
            <c:bubble3D val="0"/>
            <c:spPr>
              <a:solidFill>
                <a:schemeClr val="accent1"/>
              </a:solidFill>
              <a:ln w="25400">
                <a:solidFill>
                  <a:schemeClr val="lt1"/>
                </a:solidFill>
              </a:ln>
              <a:effectLst/>
            </c:spPr>
          </c:dPt>
          <c:dPt>
            <c:idx val="1"/>
            <c:bubble3D val="0"/>
            <c:spPr>
              <a:solidFill>
                <a:schemeClr val="accent2"/>
              </a:solidFill>
              <a:ln w="25400">
                <a:solidFill>
                  <a:schemeClr val="lt1"/>
                </a:solidFill>
              </a:ln>
              <a:effectLst/>
            </c:spPr>
          </c:dPt>
          <c:dPt>
            <c:idx val="2"/>
            <c:bubble3D val="0"/>
            <c:spPr>
              <a:solidFill>
                <a:schemeClr val="accent3"/>
              </a:solidFill>
              <a:ln w="25400">
                <a:solidFill>
                  <a:schemeClr val="lt1"/>
                </a:solidFill>
              </a:ln>
              <a:effectLst/>
            </c:spPr>
          </c:dPt>
          <c:dPt>
            <c:idx val="3"/>
            <c:bubble3D val="0"/>
            <c:spPr>
              <a:solidFill>
                <a:schemeClr val="accent4"/>
              </a:solidFill>
              <a:ln w="25400">
                <a:solidFill>
                  <a:schemeClr val="lt1"/>
                </a:solidFill>
              </a:ln>
              <a:effectLst/>
            </c:spPr>
          </c:dPt>
          <c:dPt>
            <c:idx val="4"/>
            <c:bubble3D val="0"/>
            <c:spPr>
              <a:solidFill>
                <a:schemeClr val="accent5"/>
              </a:solidFill>
              <a:ln w="25400">
                <a:solidFill>
                  <a:schemeClr val="lt1"/>
                </a:solidFill>
              </a:ln>
              <a:effectLst/>
            </c:spPr>
          </c:dPt>
          <c:dLbls>
            <c:dLbl>
              <c:idx val="1"/>
              <c:layout>
                <c:manualLayout>
                  <c:x val="-0.05625"/>
                  <c:y val="-0.00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495474910394265"/>
                  <c:y val="-0.0625450901803607"/>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06505376344086"/>
                  <c:y val="-0.087736782152756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29336917562724"/>
                  <c:y val="-0.053772545090180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一般公共服务</c:v>
                </c:pt>
                <c:pt idx="1">
                  <c:v>教育支出</c:v>
                </c:pt>
                <c:pt idx="2">
                  <c:v>社会保障和就业支出</c:v>
                </c:pt>
                <c:pt idx="3">
                  <c:v>卫生健康支出</c:v>
                </c:pt>
                <c:pt idx="4">
                  <c:v>住房保障支出</c:v>
                </c:pt>
              </c:strCache>
            </c:strRef>
          </c:cat>
          <c:val>
            <c:numRef>
              <c:f>Sheet1!$B$2:$B$6</c:f>
              <c:numCache>
                <c:formatCode>0.00%</c:formatCode>
                <c:ptCount val="5"/>
                <c:pt idx="0">
                  <c:v>0.754</c:v>
                </c:pt>
                <c:pt idx="1">
                  <c:v>0.0109</c:v>
                </c:pt>
                <c:pt idx="2">
                  <c:v>0.0873</c:v>
                </c:pt>
                <c:pt idx="3">
                  <c:v>0.0485</c:v>
                </c:pt>
                <c:pt idx="4">
                  <c:v>0.0993</c:v>
                </c:pt>
              </c:numCache>
            </c:numRef>
          </c:val>
        </c:ser>
        <c:dLbls>
          <c:showLegendKey val="0"/>
          <c:showVal val="1"/>
          <c:showCatName val="0"/>
          <c:showSerName val="0"/>
          <c:showPercent val="0"/>
          <c:showBubbleSize val="0"/>
        </c:dLbls>
      </c:pie3D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manualLayout>
          <c:layoutTarget val="inner"/>
          <c:xMode val="edge"/>
          <c:yMode val="edge"/>
          <c:x val="0.0832034528234025"/>
          <c:y val="0.105152154263332"/>
          <c:w val="0.863445630020381"/>
          <c:h val="0.684844832780958"/>
        </c:manualLayout>
      </c:layout>
      <c:pie3DChart>
        <c:varyColors val="1"/>
        <c:ser>
          <c:idx val="0"/>
          <c:order val="0"/>
          <c:tx>
            <c:strRef>
              <c:f>Sheet1!$B$1</c:f>
              <c:strCache>
                <c:ptCount val="1"/>
                <c:pt idx="0">
                  <c:v/>
                </c:pt>
              </c:strCache>
            </c:strRef>
          </c:tx>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Lbls>
            <c:dLbl>
              <c:idx val="1"/>
              <c:layout>
                <c:manualLayout>
                  <c:x val="-0.05625"/>
                  <c:y val="-0.00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公务用车购置及运行维护费</c:v>
                </c:pt>
                <c:pt idx="1">
                  <c:v>公务接待费</c:v>
                </c:pt>
              </c:strCache>
            </c:strRef>
          </c:cat>
          <c:val>
            <c:numRef>
              <c:f>Sheet1!$B$2:$B$3</c:f>
              <c:numCache>
                <c:formatCode>0.00%</c:formatCode>
                <c:ptCount val="2"/>
                <c:pt idx="0">
                  <c:v>0.9477</c:v>
                </c:pt>
                <c:pt idx="1">
                  <c:v>0.0523</c:v>
                </c:pt>
              </c:numCache>
            </c:numRef>
          </c:val>
        </c:ser>
        <c:dLbls>
          <c:showLegendKey val="0"/>
          <c:showVal val="1"/>
          <c:showCatName val="0"/>
          <c:showSerName val="0"/>
          <c:showPercent val="0"/>
          <c:showBubbleSize val="0"/>
        </c:dLbls>
      </c:pie3DChart>
      <c:spPr>
        <a:noFill/>
        <a:ln>
          <a:noFill/>
        </a:ln>
        <a:effectLst/>
      </c:spPr>
    </c:plotArea>
    <c:legend>
      <c:legendPos val="b"/>
      <c:layout>
        <c:manualLayout>
          <c:xMode val="edge"/>
          <c:yMode val="edge"/>
          <c:x val="0.00788530465949821"/>
          <c:y val="0.808764940239044"/>
          <c:w val="0.982078853046595"/>
          <c:h val="0.1664769493454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17</Pages>
  <Words>5258</Words>
  <Characters>5661</Characters>
  <Lines>61</Lines>
  <Paragraphs>17</Paragraphs>
  <TotalTime>56</TotalTime>
  <ScaleCrop>false</ScaleCrop>
  <LinksUpToDate>false</LinksUpToDate>
  <CharactersWithSpaces>5682</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2020-08-09T09:49:00Z</dcterms:created>
  <dc:creator>曹颖</dc:creator>
  <cp:lastModifiedBy>叶姣娇</cp:lastModifiedBy>
  <cp:lastPrinted>2023-08-04T10:35:00Z</cp:lastPrinted>
  <dcterms:modified xsi:type="dcterms:W3CDTF">2024-09-11T12:50:05Z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74470C3010B84147913424EC536BD1AB_12</vt:lpwstr>
  </property>
</Properties>
</file>